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189"/>
      </w:tblGrid>
      <w:tr w:rsidR="00B65BA5" w:rsidRPr="00FC4883" w14:paraId="63676058" w14:textId="77777777" w:rsidTr="00872104">
        <w:tc>
          <w:tcPr>
            <w:tcW w:w="7991" w:type="dxa"/>
            <w:gridSpan w:val="2"/>
          </w:tcPr>
          <w:p w14:paraId="0E7F77E9" w14:textId="77777777" w:rsidR="00B65BA5" w:rsidRPr="00FC4883" w:rsidRDefault="00B65BA5" w:rsidP="00872104">
            <w:pPr>
              <w:rPr>
                <w:rFonts w:ascii="Arial Narrow" w:hAnsi="Arial Narrow"/>
              </w:rPr>
            </w:pPr>
            <w:bookmarkStart w:id="0" w:name="_GoBack"/>
            <w:bookmarkEnd w:id="0"/>
          </w:p>
          <w:p w14:paraId="4B27E87B" w14:textId="77777777" w:rsidR="00B65BA5" w:rsidRPr="00FC4883" w:rsidRDefault="00B65BA5" w:rsidP="00872104">
            <w:pPr>
              <w:rPr>
                <w:rFonts w:ascii="Arial Narrow" w:hAnsi="Arial Narrow"/>
              </w:rPr>
            </w:pPr>
          </w:p>
          <w:p w14:paraId="550E9CEC" w14:textId="77777777" w:rsidR="00B65BA5" w:rsidRPr="00FC4883" w:rsidRDefault="00B65BA5" w:rsidP="00872104">
            <w:pPr>
              <w:tabs>
                <w:tab w:val="center" w:pos="4512"/>
              </w:tabs>
              <w:jc w:val="center"/>
              <w:rPr>
                <w:rFonts w:ascii="Arial Narrow" w:hAnsi="Arial Narrow" w:cs="Arial"/>
                <w:b/>
                <w:bCs/>
                <w:sz w:val="40"/>
                <w:szCs w:val="40"/>
                <w:u w:val="single"/>
                <w:lang w:val="en-GB"/>
              </w:rPr>
            </w:pPr>
            <w:r w:rsidRPr="00FC4883">
              <w:rPr>
                <w:rFonts w:ascii="Arial Narrow" w:hAnsi="Arial Narrow" w:cs="Arial"/>
                <w:b/>
                <w:sz w:val="40"/>
                <w:szCs w:val="40"/>
                <w:u w:val="single"/>
                <w:lang w:val="en-GB"/>
              </w:rPr>
              <w:t>MSUNDUZI</w:t>
            </w:r>
            <w:r w:rsidRPr="00FC4883">
              <w:rPr>
                <w:rFonts w:ascii="Arial Narrow" w:hAnsi="Arial Narrow" w:cs="Arial"/>
                <w:b/>
                <w:bCs/>
                <w:sz w:val="40"/>
                <w:szCs w:val="40"/>
                <w:u w:val="single"/>
                <w:lang w:val="en-GB"/>
              </w:rPr>
              <w:t xml:space="preserve"> MUNICIPALITY</w:t>
            </w:r>
          </w:p>
          <w:p w14:paraId="2CA6F0FD" w14:textId="77777777" w:rsidR="00B65BA5" w:rsidRPr="00FC4883" w:rsidRDefault="00B65BA5" w:rsidP="00872104">
            <w:pPr>
              <w:jc w:val="right"/>
              <w:rPr>
                <w:rFonts w:ascii="Arial Narrow" w:hAnsi="Arial Narrow" w:cs="Arial"/>
                <w:b/>
                <w:bCs/>
                <w:sz w:val="28"/>
                <w:szCs w:val="28"/>
                <w:u w:val="single"/>
                <w:lang w:val="en-GB"/>
              </w:rPr>
            </w:pPr>
          </w:p>
          <w:p w14:paraId="1B77D8ED" w14:textId="77777777" w:rsidR="00B65BA5" w:rsidRPr="00FC4883" w:rsidRDefault="00B65BA5" w:rsidP="00872104">
            <w:pPr>
              <w:rPr>
                <w:rFonts w:ascii="Arial Narrow" w:hAnsi="Arial Narrow"/>
              </w:rPr>
            </w:pPr>
          </w:p>
          <w:p w14:paraId="5FC9CCB8" w14:textId="77777777" w:rsidR="00B65BA5" w:rsidRPr="00FC4883" w:rsidRDefault="00B65BA5" w:rsidP="00872104">
            <w:pPr>
              <w:rPr>
                <w:rFonts w:ascii="Arial Narrow" w:hAnsi="Arial Narrow"/>
              </w:rPr>
            </w:pPr>
            <w:r w:rsidRPr="00FC4883">
              <w:rPr>
                <w:rFonts w:ascii="Arial Narrow" w:hAnsi="Arial Narrow"/>
              </w:rPr>
              <w:t xml:space="preserve">                                          </w:t>
            </w:r>
          </w:p>
          <w:p w14:paraId="5BBF99C4" w14:textId="77777777" w:rsidR="00B65BA5" w:rsidRPr="00FC4883" w:rsidRDefault="00B65BA5" w:rsidP="00872104">
            <w:pPr>
              <w:jc w:val="center"/>
              <w:rPr>
                <w:rFonts w:ascii="Arial Narrow" w:hAnsi="Arial Narrow"/>
              </w:rPr>
            </w:pPr>
            <w:r w:rsidRPr="00FC4883">
              <w:rPr>
                <w:rFonts w:ascii="Arial Narrow" w:hAnsi="Arial Narrow"/>
                <w:noProof/>
                <w:lang w:val="en-ZA" w:eastAsia="en-ZA"/>
              </w:rPr>
              <w:drawing>
                <wp:inline distT="0" distB="0" distL="0" distR="0" wp14:anchorId="758B8859" wp14:editId="04FAC582">
                  <wp:extent cx="990600" cy="15049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srcRect/>
                          <a:stretch>
                            <a:fillRect/>
                          </a:stretch>
                        </pic:blipFill>
                        <pic:spPr bwMode="auto">
                          <a:xfrm>
                            <a:off x="0" y="0"/>
                            <a:ext cx="990600" cy="1504950"/>
                          </a:xfrm>
                          <a:prstGeom prst="rect">
                            <a:avLst/>
                          </a:prstGeom>
                          <a:noFill/>
                          <a:ln w="9525">
                            <a:noFill/>
                            <a:miter lim="800000"/>
                            <a:headEnd/>
                            <a:tailEnd/>
                          </a:ln>
                        </pic:spPr>
                      </pic:pic>
                    </a:graphicData>
                  </a:graphic>
                </wp:inline>
              </w:drawing>
            </w:r>
          </w:p>
          <w:p w14:paraId="607AD5C2" w14:textId="77777777" w:rsidR="00B65BA5" w:rsidRPr="00FC4883" w:rsidRDefault="00B65BA5" w:rsidP="00872104">
            <w:pPr>
              <w:rPr>
                <w:rFonts w:ascii="Arial Narrow" w:hAnsi="Arial Narrow"/>
              </w:rPr>
            </w:pPr>
          </w:p>
        </w:tc>
      </w:tr>
      <w:tr w:rsidR="00B65BA5" w:rsidRPr="00FC4883" w14:paraId="471399AF" w14:textId="77777777" w:rsidTr="00872104">
        <w:trPr>
          <w:trHeight w:hRule="exact" w:val="510"/>
        </w:trPr>
        <w:tc>
          <w:tcPr>
            <w:tcW w:w="2802" w:type="dxa"/>
            <w:vAlign w:val="center"/>
          </w:tcPr>
          <w:p w14:paraId="0FE80D41" w14:textId="77777777" w:rsidR="00B65BA5" w:rsidRPr="00FC4883" w:rsidRDefault="00B65BA5" w:rsidP="00872104">
            <w:pPr>
              <w:rPr>
                <w:rFonts w:ascii="Arial Narrow" w:hAnsi="Arial Narrow" w:cs="Arial"/>
                <w:b/>
              </w:rPr>
            </w:pPr>
            <w:r w:rsidRPr="00FC4883">
              <w:rPr>
                <w:rFonts w:ascii="Arial Narrow" w:hAnsi="Arial Narrow" w:cs="Arial"/>
                <w:b/>
              </w:rPr>
              <w:t>Policy Name</w:t>
            </w:r>
            <w:r>
              <w:rPr>
                <w:rFonts w:ascii="Arial Narrow" w:hAnsi="Arial Narrow" w:cs="Arial"/>
                <w:b/>
              </w:rPr>
              <w:t>:</w:t>
            </w:r>
          </w:p>
        </w:tc>
        <w:tc>
          <w:tcPr>
            <w:tcW w:w="5189" w:type="dxa"/>
            <w:vAlign w:val="center"/>
          </w:tcPr>
          <w:p w14:paraId="54511EB3" w14:textId="77777777" w:rsidR="00B65BA5" w:rsidRPr="00FC4883" w:rsidRDefault="00A723F6" w:rsidP="00872104">
            <w:pPr>
              <w:rPr>
                <w:rFonts w:ascii="Arial Narrow" w:hAnsi="Arial Narrow" w:cs="Arial"/>
                <w:b/>
              </w:rPr>
            </w:pPr>
            <w:r>
              <w:rPr>
                <w:rFonts w:ascii="Arial Narrow" w:hAnsi="Arial Narrow" w:cs="Arial"/>
                <w:b/>
              </w:rPr>
              <w:t xml:space="preserve">IMPAIRMENT </w:t>
            </w:r>
            <w:r w:rsidR="00B65BA5">
              <w:rPr>
                <w:rFonts w:ascii="Arial Narrow" w:hAnsi="Arial Narrow" w:cs="Arial"/>
                <w:b/>
              </w:rPr>
              <w:t>POLICY</w:t>
            </w:r>
          </w:p>
        </w:tc>
      </w:tr>
      <w:tr w:rsidR="00B65BA5" w:rsidRPr="00FC4883" w14:paraId="25670C64" w14:textId="77777777" w:rsidTr="00872104">
        <w:trPr>
          <w:trHeight w:hRule="exact" w:val="510"/>
        </w:trPr>
        <w:tc>
          <w:tcPr>
            <w:tcW w:w="2802" w:type="dxa"/>
            <w:vAlign w:val="center"/>
          </w:tcPr>
          <w:p w14:paraId="55FBB48D" w14:textId="77777777" w:rsidR="00B65BA5" w:rsidRPr="00FC4883" w:rsidRDefault="00B65BA5" w:rsidP="00872104">
            <w:pPr>
              <w:rPr>
                <w:rFonts w:ascii="Arial Narrow" w:hAnsi="Arial Narrow" w:cs="Arial"/>
                <w:b/>
              </w:rPr>
            </w:pPr>
            <w:r w:rsidRPr="00FC4883">
              <w:rPr>
                <w:rFonts w:ascii="Arial Narrow" w:hAnsi="Arial Narrow" w:cs="Arial"/>
                <w:b/>
              </w:rPr>
              <w:t>Policy Number</w:t>
            </w:r>
            <w:r>
              <w:rPr>
                <w:rFonts w:ascii="Arial Narrow" w:hAnsi="Arial Narrow" w:cs="Arial"/>
                <w:b/>
              </w:rPr>
              <w:t>:</w:t>
            </w:r>
          </w:p>
        </w:tc>
        <w:tc>
          <w:tcPr>
            <w:tcW w:w="5189" w:type="dxa"/>
            <w:vAlign w:val="center"/>
          </w:tcPr>
          <w:p w14:paraId="344A673B" w14:textId="77777777" w:rsidR="00B65BA5" w:rsidRPr="00FC4883" w:rsidRDefault="00B65BA5" w:rsidP="00872104">
            <w:pPr>
              <w:rPr>
                <w:rFonts w:ascii="Arial Narrow" w:hAnsi="Arial Narrow"/>
              </w:rPr>
            </w:pPr>
          </w:p>
        </w:tc>
      </w:tr>
      <w:tr w:rsidR="00B65BA5" w:rsidRPr="00FC4883" w14:paraId="79C70E0D" w14:textId="77777777" w:rsidTr="00872104">
        <w:trPr>
          <w:trHeight w:hRule="exact" w:val="510"/>
        </w:trPr>
        <w:tc>
          <w:tcPr>
            <w:tcW w:w="2802" w:type="dxa"/>
            <w:vAlign w:val="center"/>
          </w:tcPr>
          <w:p w14:paraId="7D531684" w14:textId="77777777" w:rsidR="00B65BA5" w:rsidRPr="00FC4883" w:rsidRDefault="00B65BA5" w:rsidP="00872104">
            <w:pPr>
              <w:rPr>
                <w:rFonts w:ascii="Arial Narrow" w:hAnsi="Arial Narrow" w:cs="Arial"/>
                <w:b/>
              </w:rPr>
            </w:pPr>
            <w:r>
              <w:rPr>
                <w:rFonts w:ascii="Arial Narrow" w:hAnsi="Arial Narrow" w:cs="Arial"/>
                <w:b/>
              </w:rPr>
              <w:t>Status:</w:t>
            </w:r>
          </w:p>
        </w:tc>
        <w:tc>
          <w:tcPr>
            <w:tcW w:w="5189" w:type="dxa"/>
            <w:vAlign w:val="center"/>
          </w:tcPr>
          <w:p w14:paraId="7793BD03" w14:textId="28BEA663" w:rsidR="00B65BA5" w:rsidRPr="00C45EBB" w:rsidRDefault="0062292C" w:rsidP="00872104">
            <w:pPr>
              <w:rPr>
                <w:rFonts w:ascii="Arial Narrow" w:hAnsi="Arial Narrow"/>
                <w:b/>
              </w:rPr>
            </w:pPr>
            <w:r>
              <w:rPr>
                <w:rFonts w:ascii="Arial Narrow" w:hAnsi="Arial Narrow"/>
                <w:b/>
              </w:rPr>
              <w:t>Draft</w:t>
            </w:r>
          </w:p>
        </w:tc>
      </w:tr>
      <w:tr w:rsidR="00B65BA5" w:rsidRPr="00FC4883" w14:paraId="16A2244E" w14:textId="77777777" w:rsidTr="00872104">
        <w:trPr>
          <w:trHeight w:hRule="exact" w:val="510"/>
        </w:trPr>
        <w:tc>
          <w:tcPr>
            <w:tcW w:w="2802" w:type="dxa"/>
            <w:vAlign w:val="center"/>
          </w:tcPr>
          <w:p w14:paraId="64731390" w14:textId="77777777" w:rsidR="00B65BA5" w:rsidRPr="00FC4883" w:rsidRDefault="00B65BA5" w:rsidP="00872104">
            <w:pPr>
              <w:rPr>
                <w:rFonts w:ascii="Arial Narrow" w:hAnsi="Arial Narrow" w:cs="Arial"/>
                <w:b/>
              </w:rPr>
            </w:pPr>
            <w:r w:rsidRPr="00FC4883">
              <w:rPr>
                <w:rFonts w:ascii="Arial Narrow" w:hAnsi="Arial Narrow" w:cs="Arial"/>
                <w:b/>
              </w:rPr>
              <w:t>Date</w:t>
            </w:r>
            <w:r>
              <w:rPr>
                <w:rFonts w:ascii="Arial Narrow" w:hAnsi="Arial Narrow" w:cs="Arial"/>
                <w:b/>
              </w:rPr>
              <w:t>:</w:t>
            </w:r>
          </w:p>
        </w:tc>
        <w:tc>
          <w:tcPr>
            <w:tcW w:w="5189" w:type="dxa"/>
            <w:vAlign w:val="center"/>
          </w:tcPr>
          <w:p w14:paraId="2DC26B7B" w14:textId="73F10585" w:rsidR="00B65BA5" w:rsidRPr="00FC4883" w:rsidRDefault="0062292C" w:rsidP="00872104">
            <w:pPr>
              <w:rPr>
                <w:rFonts w:ascii="Arial Narrow" w:hAnsi="Arial Narrow"/>
              </w:rPr>
            </w:pPr>
            <w:r>
              <w:rPr>
                <w:rFonts w:ascii="Arial Narrow" w:hAnsi="Arial Narrow"/>
              </w:rPr>
              <w:t>February 202</w:t>
            </w:r>
            <w:r w:rsidR="007F4F15">
              <w:rPr>
                <w:rFonts w:ascii="Arial Narrow" w:hAnsi="Arial Narrow"/>
              </w:rPr>
              <w:t>2</w:t>
            </w:r>
          </w:p>
        </w:tc>
      </w:tr>
      <w:tr w:rsidR="00B65BA5" w:rsidRPr="00FC4883" w14:paraId="43D93880" w14:textId="77777777" w:rsidTr="00872104">
        <w:trPr>
          <w:trHeight w:hRule="exact" w:val="510"/>
        </w:trPr>
        <w:tc>
          <w:tcPr>
            <w:tcW w:w="2802" w:type="dxa"/>
            <w:vAlign w:val="center"/>
          </w:tcPr>
          <w:p w14:paraId="655776E9" w14:textId="77777777" w:rsidR="00B65BA5" w:rsidRPr="00FC4883" w:rsidRDefault="00B65BA5" w:rsidP="00872104">
            <w:pPr>
              <w:rPr>
                <w:rFonts w:ascii="Arial Narrow" w:hAnsi="Arial Narrow" w:cs="Arial"/>
                <w:b/>
              </w:rPr>
            </w:pPr>
            <w:r w:rsidRPr="00FC4883">
              <w:rPr>
                <w:rFonts w:ascii="Arial Narrow" w:hAnsi="Arial Narrow" w:cs="Arial"/>
                <w:b/>
              </w:rPr>
              <w:t>Approved By</w:t>
            </w:r>
            <w:r>
              <w:rPr>
                <w:rFonts w:ascii="Arial Narrow" w:hAnsi="Arial Narrow" w:cs="Arial"/>
                <w:b/>
              </w:rPr>
              <w:t>:</w:t>
            </w:r>
          </w:p>
        </w:tc>
        <w:tc>
          <w:tcPr>
            <w:tcW w:w="5189" w:type="dxa"/>
            <w:vAlign w:val="center"/>
          </w:tcPr>
          <w:p w14:paraId="6779B9C9" w14:textId="77777777" w:rsidR="00B65BA5" w:rsidRPr="00FC4883" w:rsidRDefault="00AD3837" w:rsidP="00872104">
            <w:pPr>
              <w:rPr>
                <w:rFonts w:ascii="Arial Narrow" w:hAnsi="Arial Narrow"/>
              </w:rPr>
            </w:pPr>
            <w:r>
              <w:rPr>
                <w:rFonts w:ascii="Arial Narrow" w:hAnsi="Arial Narrow"/>
              </w:rPr>
              <w:t xml:space="preserve">Full Council </w:t>
            </w:r>
          </w:p>
        </w:tc>
      </w:tr>
      <w:tr w:rsidR="00B65BA5" w:rsidRPr="00FC4883" w14:paraId="45E77DC4" w14:textId="77777777" w:rsidTr="00872104">
        <w:trPr>
          <w:trHeight w:hRule="exact" w:val="510"/>
        </w:trPr>
        <w:tc>
          <w:tcPr>
            <w:tcW w:w="2802" w:type="dxa"/>
            <w:vAlign w:val="center"/>
          </w:tcPr>
          <w:p w14:paraId="7F59503A" w14:textId="77777777" w:rsidR="00B65BA5" w:rsidRPr="00FC4883" w:rsidRDefault="00B65BA5" w:rsidP="00872104">
            <w:pPr>
              <w:rPr>
                <w:rFonts w:ascii="Arial Narrow" w:hAnsi="Arial Narrow" w:cs="Arial"/>
                <w:b/>
              </w:rPr>
            </w:pPr>
            <w:r w:rsidRPr="00FC4883">
              <w:rPr>
                <w:rFonts w:ascii="Arial Narrow" w:hAnsi="Arial Narrow" w:cs="Arial"/>
                <w:b/>
              </w:rPr>
              <w:t>Date Approved</w:t>
            </w:r>
            <w:r>
              <w:rPr>
                <w:rFonts w:ascii="Arial Narrow" w:hAnsi="Arial Narrow" w:cs="Arial"/>
                <w:b/>
              </w:rPr>
              <w:t>:</w:t>
            </w:r>
          </w:p>
        </w:tc>
        <w:tc>
          <w:tcPr>
            <w:tcW w:w="5189" w:type="dxa"/>
            <w:vAlign w:val="center"/>
          </w:tcPr>
          <w:p w14:paraId="2067B716" w14:textId="5404C78F" w:rsidR="00B65BA5" w:rsidRPr="00FC4883" w:rsidRDefault="0062292C" w:rsidP="007F4F15">
            <w:pPr>
              <w:rPr>
                <w:rFonts w:ascii="Arial Narrow" w:hAnsi="Arial Narrow"/>
              </w:rPr>
            </w:pPr>
            <w:r>
              <w:rPr>
                <w:rFonts w:ascii="Arial Narrow" w:hAnsi="Arial Narrow"/>
              </w:rPr>
              <w:t xml:space="preserve">May </w:t>
            </w:r>
            <w:r w:rsidR="007F4F15">
              <w:rPr>
                <w:rFonts w:ascii="Arial Narrow" w:hAnsi="Arial Narrow"/>
              </w:rPr>
              <w:t>2021</w:t>
            </w:r>
          </w:p>
        </w:tc>
      </w:tr>
      <w:tr w:rsidR="00B65BA5" w:rsidRPr="00FC4883" w14:paraId="2D6628DE" w14:textId="77777777" w:rsidTr="00872104">
        <w:trPr>
          <w:trHeight w:hRule="exact" w:val="510"/>
        </w:trPr>
        <w:tc>
          <w:tcPr>
            <w:tcW w:w="2802" w:type="dxa"/>
            <w:vAlign w:val="center"/>
          </w:tcPr>
          <w:p w14:paraId="5CD09993" w14:textId="77777777" w:rsidR="00B65BA5" w:rsidRPr="00FC4883" w:rsidRDefault="00B65BA5" w:rsidP="00872104">
            <w:pPr>
              <w:rPr>
                <w:rFonts w:ascii="Arial Narrow" w:hAnsi="Arial Narrow" w:cs="Arial"/>
                <w:b/>
              </w:rPr>
            </w:pPr>
            <w:r w:rsidRPr="00FC4883">
              <w:rPr>
                <w:rFonts w:ascii="Arial Narrow" w:hAnsi="Arial Narrow" w:cs="Arial"/>
                <w:b/>
              </w:rPr>
              <w:t>Date Last Amended</w:t>
            </w:r>
            <w:r>
              <w:rPr>
                <w:rFonts w:ascii="Arial Narrow" w:hAnsi="Arial Narrow" w:cs="Arial"/>
                <w:b/>
              </w:rPr>
              <w:t>:</w:t>
            </w:r>
          </w:p>
        </w:tc>
        <w:tc>
          <w:tcPr>
            <w:tcW w:w="5189" w:type="dxa"/>
            <w:vAlign w:val="center"/>
          </w:tcPr>
          <w:p w14:paraId="49A08048" w14:textId="30E1DCE5" w:rsidR="00B65BA5" w:rsidRPr="00FC4883" w:rsidRDefault="0062292C" w:rsidP="00872104">
            <w:pPr>
              <w:rPr>
                <w:rFonts w:ascii="Arial Narrow" w:hAnsi="Arial Narrow"/>
              </w:rPr>
            </w:pPr>
            <w:r>
              <w:rPr>
                <w:rFonts w:ascii="Arial Narrow" w:hAnsi="Arial Narrow"/>
              </w:rPr>
              <w:t>February 202</w:t>
            </w:r>
            <w:r w:rsidR="007F4F15">
              <w:rPr>
                <w:rFonts w:ascii="Arial Narrow" w:hAnsi="Arial Narrow"/>
              </w:rPr>
              <w:t>1</w:t>
            </w:r>
          </w:p>
        </w:tc>
      </w:tr>
      <w:tr w:rsidR="00B65BA5" w:rsidRPr="00FC4883" w14:paraId="7AD884C2" w14:textId="77777777" w:rsidTr="00872104">
        <w:trPr>
          <w:trHeight w:hRule="exact" w:val="510"/>
        </w:trPr>
        <w:tc>
          <w:tcPr>
            <w:tcW w:w="2802" w:type="dxa"/>
            <w:tcBorders>
              <w:bottom w:val="single" w:sz="4" w:space="0" w:color="auto"/>
            </w:tcBorders>
            <w:vAlign w:val="center"/>
          </w:tcPr>
          <w:p w14:paraId="433A96E7" w14:textId="77777777" w:rsidR="00B65BA5" w:rsidRPr="00FC4883" w:rsidRDefault="00B65BA5" w:rsidP="00872104">
            <w:pPr>
              <w:rPr>
                <w:rFonts w:ascii="Arial Narrow" w:hAnsi="Arial Narrow" w:cs="Arial"/>
                <w:b/>
              </w:rPr>
            </w:pPr>
            <w:r w:rsidRPr="00FC4883">
              <w:rPr>
                <w:rFonts w:ascii="Arial Narrow" w:hAnsi="Arial Narrow" w:cs="Arial"/>
                <w:b/>
              </w:rPr>
              <w:t>Date for Next Review</w:t>
            </w:r>
            <w:r>
              <w:rPr>
                <w:rFonts w:ascii="Arial Narrow" w:hAnsi="Arial Narrow" w:cs="Arial"/>
                <w:b/>
              </w:rPr>
              <w:t>:</w:t>
            </w:r>
          </w:p>
        </w:tc>
        <w:tc>
          <w:tcPr>
            <w:tcW w:w="5189" w:type="dxa"/>
            <w:tcBorders>
              <w:bottom w:val="single" w:sz="4" w:space="0" w:color="auto"/>
            </w:tcBorders>
            <w:vAlign w:val="center"/>
          </w:tcPr>
          <w:p w14:paraId="39BBF5FC" w14:textId="4F7A712A" w:rsidR="00B65BA5" w:rsidRPr="00FC4883" w:rsidRDefault="00D76136" w:rsidP="00872104">
            <w:pPr>
              <w:rPr>
                <w:rFonts w:ascii="Arial Narrow" w:hAnsi="Arial Narrow"/>
              </w:rPr>
            </w:pPr>
            <w:r>
              <w:rPr>
                <w:rFonts w:ascii="Arial Narrow" w:hAnsi="Arial Narrow"/>
              </w:rPr>
              <w:t>February 202</w:t>
            </w:r>
            <w:r w:rsidR="007F4F15">
              <w:rPr>
                <w:rFonts w:ascii="Arial Narrow" w:hAnsi="Arial Narrow"/>
              </w:rPr>
              <w:t>3</w:t>
            </w:r>
          </w:p>
        </w:tc>
      </w:tr>
      <w:tr w:rsidR="00B65BA5" w:rsidRPr="00FC4883" w14:paraId="3FCB8630" w14:textId="77777777" w:rsidTr="00872104">
        <w:trPr>
          <w:trHeight w:hRule="exact" w:val="573"/>
        </w:trPr>
        <w:tc>
          <w:tcPr>
            <w:tcW w:w="2802" w:type="dxa"/>
            <w:tcBorders>
              <w:bottom w:val="single" w:sz="4" w:space="0" w:color="auto"/>
            </w:tcBorders>
            <w:vAlign w:val="center"/>
          </w:tcPr>
          <w:p w14:paraId="5F69F9DD" w14:textId="77777777" w:rsidR="00B65BA5" w:rsidRPr="00FC4883" w:rsidRDefault="00B65BA5" w:rsidP="00872104">
            <w:pPr>
              <w:rPr>
                <w:rFonts w:ascii="Arial Narrow" w:hAnsi="Arial Narrow" w:cs="Arial"/>
                <w:b/>
              </w:rPr>
            </w:pPr>
            <w:r w:rsidRPr="00FC4883">
              <w:rPr>
                <w:rFonts w:ascii="Arial Narrow" w:hAnsi="Arial Narrow" w:cs="Arial"/>
                <w:b/>
              </w:rPr>
              <w:t>Date Published on Intranet</w:t>
            </w:r>
            <w:r>
              <w:rPr>
                <w:rFonts w:ascii="Arial Narrow" w:hAnsi="Arial Narrow" w:cs="Arial"/>
                <w:b/>
              </w:rPr>
              <w:t>:</w:t>
            </w:r>
          </w:p>
        </w:tc>
        <w:tc>
          <w:tcPr>
            <w:tcW w:w="5189" w:type="dxa"/>
            <w:tcBorders>
              <w:bottom w:val="single" w:sz="4" w:space="0" w:color="auto"/>
            </w:tcBorders>
            <w:vAlign w:val="center"/>
          </w:tcPr>
          <w:p w14:paraId="7FA388FE" w14:textId="77777777" w:rsidR="00B65BA5" w:rsidRPr="00FC4883" w:rsidRDefault="00B65BA5" w:rsidP="00872104">
            <w:pPr>
              <w:rPr>
                <w:rFonts w:ascii="Arial Narrow" w:hAnsi="Arial Narrow"/>
              </w:rPr>
            </w:pPr>
          </w:p>
        </w:tc>
      </w:tr>
    </w:tbl>
    <w:p w14:paraId="7DE7BA79" w14:textId="77777777" w:rsidR="00B65BA5" w:rsidRDefault="00B65BA5" w:rsidP="005F6A78">
      <w:pPr>
        <w:pStyle w:val="Title"/>
        <w:rPr>
          <w:color w:val="auto"/>
        </w:rPr>
      </w:pPr>
    </w:p>
    <w:p w14:paraId="3DE9A865" w14:textId="77777777" w:rsidR="00B65BA5" w:rsidRDefault="00B65BA5">
      <w:r>
        <w:br w:type="page"/>
      </w:r>
    </w:p>
    <w:p w14:paraId="47EE0F05" w14:textId="77777777" w:rsidR="00D758E2" w:rsidRPr="00873E45" w:rsidRDefault="00D758E2" w:rsidP="00D758E2">
      <w:pPr>
        <w:jc w:val="center"/>
        <w:rPr>
          <w:b/>
          <w:i/>
          <w:sz w:val="48"/>
        </w:rPr>
      </w:pPr>
      <w:r>
        <w:rPr>
          <w:noProof/>
          <w:lang w:val="en-ZA" w:eastAsia="en-ZA"/>
        </w:rPr>
        <w:lastRenderedPageBreak/>
        <w:drawing>
          <wp:anchor distT="0" distB="0" distL="114300" distR="114300" simplePos="0" relativeHeight="251657728" behindDoc="1" locked="0" layoutInCell="1" allowOverlap="1" wp14:anchorId="2377B36B" wp14:editId="422AC346">
            <wp:simplePos x="0" y="0"/>
            <wp:positionH relativeFrom="margin">
              <wp:align>center</wp:align>
            </wp:positionH>
            <wp:positionV relativeFrom="paragraph">
              <wp:posOffset>-375920</wp:posOffset>
            </wp:positionV>
            <wp:extent cx="7083425" cy="8562975"/>
            <wp:effectExtent l="0" t="0" r="3175" b="9525"/>
            <wp:wrapNone/>
            <wp:docPr id="4" name="Picture 4"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icy Cover Page"/>
                    <pic:cNvPicPr>
                      <a:picLocks noChangeAspect="1" noChangeArrowheads="1"/>
                    </pic:cNvPicPr>
                  </pic:nvPicPr>
                  <pic:blipFill>
                    <a:blip r:embed="rId10" cstate="print"/>
                    <a:srcRect/>
                    <a:stretch>
                      <a:fillRect/>
                    </a:stretch>
                  </pic:blipFill>
                  <pic:spPr bwMode="auto">
                    <a:xfrm>
                      <a:off x="0" y="0"/>
                      <a:ext cx="7083878" cy="8563523"/>
                    </a:xfrm>
                    <a:prstGeom prst="rect">
                      <a:avLst/>
                    </a:prstGeom>
                    <a:noFill/>
                  </pic:spPr>
                </pic:pic>
              </a:graphicData>
            </a:graphic>
            <wp14:sizeRelV relativeFrom="margin">
              <wp14:pctHeight>0</wp14:pctHeight>
            </wp14:sizeRelV>
          </wp:anchor>
        </w:drawing>
      </w:r>
    </w:p>
    <w:p w14:paraId="12C314FA" w14:textId="77777777" w:rsidR="00B65BA5" w:rsidRDefault="00B65BA5">
      <w:pPr>
        <w:rPr>
          <w:b/>
          <w:bCs/>
          <w:sz w:val="52"/>
        </w:rPr>
      </w:pPr>
    </w:p>
    <w:p w14:paraId="61086C59" w14:textId="77777777" w:rsidR="005F6A78" w:rsidRPr="00873E45" w:rsidRDefault="005F6A78" w:rsidP="005F6A78">
      <w:pPr>
        <w:pStyle w:val="Title"/>
        <w:rPr>
          <w:color w:val="auto"/>
          <w:sz w:val="48"/>
        </w:rPr>
      </w:pPr>
      <w:r w:rsidRPr="00873E45">
        <w:rPr>
          <w:color w:val="auto"/>
        </w:rPr>
        <w:t xml:space="preserve"> </w:t>
      </w:r>
    </w:p>
    <w:p w14:paraId="1B316EA5" w14:textId="77777777" w:rsidR="005F6A78" w:rsidRPr="00873E45" w:rsidRDefault="005F6A78" w:rsidP="005F6A78">
      <w:pPr>
        <w:jc w:val="center"/>
        <w:rPr>
          <w:b/>
          <w:i/>
          <w:sz w:val="48"/>
        </w:rPr>
      </w:pPr>
    </w:p>
    <w:p w14:paraId="526E8163" w14:textId="77777777" w:rsidR="005F6A78" w:rsidRPr="00873E45" w:rsidRDefault="005F6A78" w:rsidP="005F6A78">
      <w:pPr>
        <w:ind w:left="13"/>
        <w:jc w:val="center"/>
        <w:rPr>
          <w:rFonts w:ascii="Arial" w:hAnsi="Arial"/>
        </w:rPr>
      </w:pPr>
    </w:p>
    <w:p w14:paraId="74669DCF" w14:textId="77777777" w:rsidR="00D47A07" w:rsidRPr="009309A3" w:rsidRDefault="00872104" w:rsidP="005F6A78">
      <w:pPr>
        <w:ind w:left="13"/>
        <w:jc w:val="center"/>
        <w:rPr>
          <w:rFonts w:ascii="Calibri" w:hAnsi="Calibri" w:cs="Calibri"/>
          <w:b/>
          <w:i/>
          <w:sz w:val="48"/>
        </w:rPr>
      </w:pPr>
      <w:r>
        <w:rPr>
          <w:rFonts w:ascii="Calibri" w:hAnsi="Calibri" w:cs="Calibri"/>
          <w:b/>
          <w:i/>
          <w:sz w:val="48"/>
        </w:rPr>
        <w:t xml:space="preserve">IMPAIRMENT </w:t>
      </w:r>
      <w:r w:rsidR="00E839B1" w:rsidRPr="009309A3">
        <w:rPr>
          <w:rFonts w:ascii="Calibri" w:hAnsi="Calibri" w:cs="Calibri"/>
          <w:b/>
          <w:i/>
          <w:sz w:val="48"/>
        </w:rPr>
        <w:t>POLICY</w:t>
      </w:r>
    </w:p>
    <w:p w14:paraId="1FC10F27" w14:textId="77777777" w:rsidR="00D47A07" w:rsidRPr="00E839B1" w:rsidRDefault="00D47A07" w:rsidP="005F6A78">
      <w:pPr>
        <w:ind w:left="13"/>
        <w:jc w:val="center"/>
        <w:rPr>
          <w:rFonts w:ascii="Eras Bold ITC" w:hAnsi="Eras Bold ITC"/>
          <w:b/>
          <w:i/>
          <w:sz w:val="48"/>
        </w:rPr>
      </w:pPr>
    </w:p>
    <w:p w14:paraId="4C6F15DF" w14:textId="77777777" w:rsidR="00D47A07" w:rsidRDefault="00D47A07" w:rsidP="005F6A78">
      <w:pPr>
        <w:ind w:left="13"/>
        <w:jc w:val="center"/>
        <w:rPr>
          <w:b/>
          <w:i/>
          <w:sz w:val="48"/>
        </w:rPr>
      </w:pPr>
    </w:p>
    <w:p w14:paraId="5CA6E985" w14:textId="77777777" w:rsidR="00D47A07" w:rsidRDefault="00D47A07" w:rsidP="005F6A78">
      <w:pPr>
        <w:ind w:left="13"/>
        <w:jc w:val="center"/>
        <w:rPr>
          <w:b/>
          <w:i/>
          <w:sz w:val="48"/>
        </w:rPr>
      </w:pPr>
    </w:p>
    <w:p w14:paraId="0A598789" w14:textId="77777777" w:rsidR="00D47A07" w:rsidRDefault="00D47A07" w:rsidP="005F6A78">
      <w:pPr>
        <w:ind w:left="13"/>
        <w:jc w:val="center"/>
        <w:rPr>
          <w:b/>
          <w:i/>
          <w:sz w:val="48"/>
        </w:rPr>
      </w:pPr>
    </w:p>
    <w:p w14:paraId="27B13BAF" w14:textId="1884BC98" w:rsidR="005F6A78" w:rsidRPr="009309A3" w:rsidRDefault="007F4F15" w:rsidP="00905C9D">
      <w:pPr>
        <w:ind w:left="13"/>
        <w:jc w:val="center"/>
        <w:rPr>
          <w:rFonts w:ascii="Calibri" w:hAnsi="Calibri" w:cs="Calibri"/>
          <w:b/>
          <w:i/>
          <w:sz w:val="72"/>
          <w:szCs w:val="72"/>
        </w:rPr>
      </w:pPr>
      <w:r>
        <w:rPr>
          <w:rFonts w:ascii="Calibri" w:hAnsi="Calibri" w:cs="Calibri"/>
          <w:b/>
          <w:i/>
          <w:sz w:val="72"/>
          <w:szCs w:val="72"/>
        </w:rPr>
        <w:t>Draft 2022/2023</w:t>
      </w:r>
      <w:r w:rsidR="00D47A07" w:rsidRPr="009309A3">
        <w:rPr>
          <w:rFonts w:ascii="Calibri" w:hAnsi="Calibri" w:cs="Calibri"/>
          <w:b/>
          <w:i/>
          <w:sz w:val="72"/>
          <w:szCs w:val="72"/>
        </w:rPr>
        <w:t xml:space="preserve">  </w:t>
      </w:r>
    </w:p>
    <w:p w14:paraId="554B62CB" w14:textId="77777777" w:rsidR="005F6A78" w:rsidRDefault="005F6A78" w:rsidP="005F6A78">
      <w:pPr>
        <w:ind w:left="13"/>
        <w:jc w:val="center"/>
        <w:rPr>
          <w:rFonts w:ascii="Arial" w:hAnsi="Arial"/>
          <w:sz w:val="72"/>
          <w:szCs w:val="72"/>
        </w:rPr>
      </w:pPr>
    </w:p>
    <w:p w14:paraId="4819E4C1" w14:textId="77777777" w:rsidR="00D47A07" w:rsidRPr="00D47A07" w:rsidRDefault="00D47A07" w:rsidP="00905C9D">
      <w:pPr>
        <w:ind w:left="13"/>
        <w:jc w:val="center"/>
        <w:rPr>
          <w:b/>
          <w:i/>
          <w:sz w:val="48"/>
          <w:szCs w:val="48"/>
        </w:rPr>
      </w:pPr>
    </w:p>
    <w:p w14:paraId="2469A63E" w14:textId="77777777" w:rsidR="00DF7BAA" w:rsidRPr="004770CE" w:rsidRDefault="00DF7BAA">
      <w:pPr>
        <w:jc w:val="both"/>
        <w:rPr>
          <w:rFonts w:ascii="Arial" w:eastAsia="Arial Unicode MS" w:hAnsi="Arial" w:cs="Arial"/>
          <w:sz w:val="22"/>
          <w:szCs w:val="22"/>
        </w:rPr>
      </w:pPr>
    </w:p>
    <w:p w14:paraId="041B621B" w14:textId="77777777" w:rsidR="00DD5EBF" w:rsidRDefault="00DD5EBF">
      <w:pPr>
        <w:jc w:val="both"/>
        <w:rPr>
          <w:rFonts w:ascii="Arial" w:eastAsia="Arial Unicode MS" w:hAnsi="Arial" w:cs="Arial"/>
          <w:sz w:val="22"/>
          <w:szCs w:val="22"/>
        </w:rPr>
      </w:pPr>
    </w:p>
    <w:p w14:paraId="298F6786" w14:textId="77777777" w:rsidR="00DD5EBF" w:rsidRDefault="00DD5EBF">
      <w:pPr>
        <w:jc w:val="both"/>
        <w:rPr>
          <w:rFonts w:ascii="Arial" w:eastAsia="Arial Unicode MS" w:hAnsi="Arial" w:cs="Arial"/>
          <w:sz w:val="22"/>
          <w:szCs w:val="22"/>
        </w:rPr>
      </w:pPr>
    </w:p>
    <w:p w14:paraId="7D833E9E" w14:textId="77777777" w:rsidR="008648D6" w:rsidRDefault="008648D6" w:rsidP="008648D6">
      <w:pPr>
        <w:tabs>
          <w:tab w:val="left" w:pos="1380"/>
          <w:tab w:val="left" w:pos="1755"/>
        </w:tabs>
        <w:jc w:val="both"/>
        <w:rPr>
          <w:rFonts w:ascii="Arial" w:eastAsia="Arial Unicode MS" w:hAnsi="Arial" w:cs="Arial"/>
          <w:sz w:val="22"/>
          <w:szCs w:val="22"/>
        </w:rPr>
      </w:pPr>
      <w:r>
        <w:rPr>
          <w:rFonts w:ascii="Arial" w:eastAsia="Arial Unicode MS" w:hAnsi="Arial" w:cs="Arial"/>
          <w:sz w:val="22"/>
          <w:szCs w:val="22"/>
        </w:rPr>
        <w:tab/>
      </w:r>
    </w:p>
    <w:p w14:paraId="2F06236B" w14:textId="77777777" w:rsidR="008648D6" w:rsidRDefault="008648D6" w:rsidP="008648D6">
      <w:pPr>
        <w:tabs>
          <w:tab w:val="left" w:pos="1380"/>
          <w:tab w:val="left" w:pos="1755"/>
        </w:tabs>
        <w:jc w:val="both"/>
        <w:rPr>
          <w:rFonts w:ascii="Arial" w:eastAsia="Arial Unicode MS" w:hAnsi="Arial" w:cs="Arial"/>
          <w:sz w:val="22"/>
          <w:szCs w:val="22"/>
        </w:rPr>
      </w:pPr>
    </w:p>
    <w:p w14:paraId="198988A1" w14:textId="77777777" w:rsidR="008648D6" w:rsidRDefault="00D758E2" w:rsidP="00D758E2">
      <w:pPr>
        <w:tabs>
          <w:tab w:val="left" w:pos="2475"/>
        </w:tabs>
        <w:jc w:val="both"/>
        <w:rPr>
          <w:rFonts w:ascii="Arial" w:eastAsia="Arial Unicode MS" w:hAnsi="Arial" w:cs="Arial"/>
          <w:sz w:val="22"/>
          <w:szCs w:val="22"/>
        </w:rPr>
      </w:pPr>
      <w:r>
        <w:rPr>
          <w:rFonts w:ascii="Arial" w:eastAsia="Arial Unicode MS" w:hAnsi="Arial" w:cs="Arial"/>
          <w:sz w:val="22"/>
          <w:szCs w:val="22"/>
        </w:rPr>
        <w:tab/>
      </w:r>
    </w:p>
    <w:p w14:paraId="4C4B4A46" w14:textId="77777777" w:rsidR="008648D6" w:rsidRDefault="008648D6" w:rsidP="008648D6">
      <w:pPr>
        <w:tabs>
          <w:tab w:val="left" w:pos="1380"/>
          <w:tab w:val="left" w:pos="1755"/>
        </w:tabs>
        <w:jc w:val="both"/>
        <w:rPr>
          <w:rFonts w:ascii="Arial" w:eastAsia="Arial Unicode MS" w:hAnsi="Arial" w:cs="Arial"/>
          <w:sz w:val="22"/>
          <w:szCs w:val="22"/>
        </w:rPr>
      </w:pPr>
    </w:p>
    <w:p w14:paraId="7F6D4BB3" w14:textId="77777777" w:rsidR="0086595C" w:rsidRDefault="0086595C" w:rsidP="008648D6">
      <w:pPr>
        <w:rPr>
          <w:rFonts w:eastAsia="Arial Unicode MS"/>
        </w:rPr>
        <w:sectPr w:rsidR="0086595C" w:rsidSect="00527C2B">
          <w:headerReference w:type="even" r:id="rId11"/>
          <w:headerReference w:type="default" r:id="rId12"/>
          <w:footerReference w:type="even" r:id="rId13"/>
          <w:footerReference w:type="default" r:id="rId14"/>
          <w:headerReference w:type="first" r:id="rId15"/>
          <w:pgSz w:w="12240" w:h="15840"/>
          <w:pgMar w:top="731" w:right="1800" w:bottom="1701" w:left="1800" w:header="708" w:footer="108" w:gutter="0"/>
          <w:cols w:space="708"/>
          <w:docGrid w:linePitch="360"/>
        </w:sectPr>
      </w:pPr>
    </w:p>
    <w:p w14:paraId="1EFDFDED" w14:textId="77777777" w:rsidR="00D758E2" w:rsidRDefault="003F5795" w:rsidP="003F5795">
      <w:pPr>
        <w:jc w:val="center"/>
        <w:rPr>
          <w:rFonts w:ascii="Arial" w:eastAsia="Arial Unicode MS" w:hAnsi="Arial" w:cs="Arial"/>
          <w:b/>
          <w:sz w:val="28"/>
          <w:szCs w:val="28"/>
        </w:rPr>
      </w:pPr>
      <w:r w:rsidRPr="003F5795">
        <w:rPr>
          <w:rFonts w:ascii="Arial" w:eastAsia="Arial Unicode MS" w:hAnsi="Arial" w:cs="Arial"/>
          <w:b/>
          <w:sz w:val="28"/>
          <w:szCs w:val="28"/>
        </w:rPr>
        <w:lastRenderedPageBreak/>
        <w:t>CONTENTS</w:t>
      </w:r>
    </w:p>
    <w:p w14:paraId="11033628" w14:textId="77777777" w:rsidR="003F5795" w:rsidRDefault="003F5795" w:rsidP="003F5795">
      <w:pPr>
        <w:jc w:val="center"/>
        <w:rPr>
          <w:rFonts w:ascii="Arial" w:eastAsia="Arial Unicode MS" w:hAnsi="Arial" w:cs="Arial"/>
          <w:b/>
          <w:sz w:val="22"/>
          <w:szCs w:val="22"/>
        </w:rPr>
      </w:pPr>
    </w:p>
    <w:p w14:paraId="434153D4" w14:textId="77777777" w:rsidR="003F5795" w:rsidRPr="003F5795" w:rsidRDefault="003F5795" w:rsidP="003F5795">
      <w:pPr>
        <w:jc w:val="center"/>
        <w:rPr>
          <w:rFonts w:ascii="Arial" w:eastAsia="Arial Unicode MS" w:hAnsi="Arial" w:cs="Arial"/>
          <w:b/>
          <w:sz w:val="22"/>
          <w:szCs w:val="22"/>
        </w:rPr>
      </w:pPr>
    </w:p>
    <w:p w14:paraId="3C39C7CE" w14:textId="5F36AB23" w:rsidR="003F5795" w:rsidRPr="003F5795" w:rsidRDefault="003F5795" w:rsidP="00A570F1">
      <w:pPr>
        <w:pStyle w:val="TOC1"/>
        <w:rPr>
          <w:rFonts w:eastAsiaTheme="minorEastAsia"/>
          <w:lang w:val="en-ZA" w:eastAsia="en-ZA"/>
        </w:rPr>
      </w:pPr>
      <w:r w:rsidRPr="003F5795">
        <w:rPr>
          <w:rFonts w:eastAsia="Arial Unicode MS"/>
        </w:rPr>
        <w:fldChar w:fldCharType="begin"/>
      </w:r>
      <w:r w:rsidRPr="003F5795">
        <w:rPr>
          <w:rFonts w:eastAsia="Arial Unicode MS"/>
        </w:rPr>
        <w:instrText xml:space="preserve"> TOC \o "1-3" \h \z \u </w:instrText>
      </w:r>
      <w:r w:rsidRPr="003F5795">
        <w:rPr>
          <w:rFonts w:eastAsia="Arial Unicode MS"/>
        </w:rPr>
        <w:fldChar w:fldCharType="separate"/>
      </w:r>
      <w:hyperlink w:anchor="_Toc17120053" w:history="1">
        <w:r w:rsidRPr="003F5795">
          <w:rPr>
            <w:rStyle w:val="Hyperlink"/>
          </w:rPr>
          <w:t>1.</w:t>
        </w:r>
        <w:r w:rsidRPr="003F5795">
          <w:rPr>
            <w:rFonts w:eastAsiaTheme="minorEastAsia"/>
            <w:lang w:val="en-ZA" w:eastAsia="en-ZA"/>
          </w:rPr>
          <w:tab/>
        </w:r>
        <w:r w:rsidRPr="003F5795">
          <w:rPr>
            <w:rStyle w:val="Hyperlink"/>
          </w:rPr>
          <w:t>DEFINITIONS</w:t>
        </w:r>
        <w:r w:rsidRPr="003F5795">
          <w:rPr>
            <w:webHidden/>
          </w:rPr>
          <w:tab/>
        </w:r>
        <w:r w:rsidRPr="003F5795">
          <w:rPr>
            <w:webHidden/>
          </w:rPr>
          <w:fldChar w:fldCharType="begin"/>
        </w:r>
        <w:r w:rsidRPr="003F5795">
          <w:rPr>
            <w:webHidden/>
          </w:rPr>
          <w:instrText xml:space="preserve"> PAGEREF _Toc17120053 \h </w:instrText>
        </w:r>
        <w:r w:rsidRPr="003F5795">
          <w:rPr>
            <w:webHidden/>
          </w:rPr>
        </w:r>
        <w:r w:rsidRPr="003F5795">
          <w:rPr>
            <w:webHidden/>
          </w:rPr>
          <w:fldChar w:fldCharType="separate"/>
        </w:r>
        <w:r w:rsidR="003F35E9">
          <w:rPr>
            <w:webHidden/>
          </w:rPr>
          <w:t>1</w:t>
        </w:r>
        <w:r w:rsidRPr="003F5795">
          <w:rPr>
            <w:webHidden/>
          </w:rPr>
          <w:fldChar w:fldCharType="end"/>
        </w:r>
      </w:hyperlink>
    </w:p>
    <w:p w14:paraId="0FB2F0DF" w14:textId="3AE8EA5C" w:rsidR="003F5795" w:rsidRPr="003F5795" w:rsidRDefault="00133590" w:rsidP="00A570F1">
      <w:pPr>
        <w:pStyle w:val="TOC1"/>
        <w:rPr>
          <w:rFonts w:eastAsiaTheme="minorEastAsia"/>
          <w:lang w:val="en-ZA" w:eastAsia="en-ZA"/>
        </w:rPr>
      </w:pPr>
      <w:hyperlink w:anchor="_Toc17120054" w:history="1">
        <w:r w:rsidR="003F5795" w:rsidRPr="003F5795">
          <w:rPr>
            <w:rStyle w:val="Hyperlink"/>
          </w:rPr>
          <w:t>2.</w:t>
        </w:r>
        <w:r w:rsidR="003F5795" w:rsidRPr="003F5795">
          <w:rPr>
            <w:rFonts w:eastAsiaTheme="minorEastAsia"/>
            <w:lang w:val="en-ZA" w:eastAsia="en-ZA"/>
          </w:rPr>
          <w:tab/>
        </w:r>
        <w:r w:rsidR="003F5795" w:rsidRPr="003F5795">
          <w:rPr>
            <w:rStyle w:val="Hyperlink"/>
          </w:rPr>
          <w:t>PURPOSE OF THE POLICY</w:t>
        </w:r>
        <w:r w:rsidR="003F5795" w:rsidRPr="003F5795">
          <w:rPr>
            <w:webHidden/>
          </w:rPr>
          <w:tab/>
        </w:r>
        <w:r w:rsidR="003F5795" w:rsidRPr="003F5795">
          <w:rPr>
            <w:webHidden/>
          </w:rPr>
          <w:fldChar w:fldCharType="begin"/>
        </w:r>
        <w:r w:rsidR="003F5795" w:rsidRPr="003F5795">
          <w:rPr>
            <w:webHidden/>
          </w:rPr>
          <w:instrText xml:space="preserve"> PAGEREF _Toc17120054 \h </w:instrText>
        </w:r>
        <w:r w:rsidR="003F5795" w:rsidRPr="003F5795">
          <w:rPr>
            <w:webHidden/>
          </w:rPr>
        </w:r>
        <w:r w:rsidR="003F5795" w:rsidRPr="003F5795">
          <w:rPr>
            <w:webHidden/>
          </w:rPr>
          <w:fldChar w:fldCharType="separate"/>
        </w:r>
        <w:r w:rsidR="003F35E9">
          <w:rPr>
            <w:webHidden/>
          </w:rPr>
          <w:t>2</w:t>
        </w:r>
        <w:r w:rsidR="003F5795" w:rsidRPr="003F5795">
          <w:rPr>
            <w:webHidden/>
          </w:rPr>
          <w:fldChar w:fldCharType="end"/>
        </w:r>
      </w:hyperlink>
    </w:p>
    <w:p w14:paraId="5ECF55FB" w14:textId="3141FEEA" w:rsidR="003F5795" w:rsidRPr="003F5795" w:rsidRDefault="00133590" w:rsidP="00A570F1">
      <w:pPr>
        <w:pStyle w:val="TOC1"/>
        <w:rPr>
          <w:rFonts w:eastAsiaTheme="minorEastAsia"/>
          <w:lang w:val="en-ZA" w:eastAsia="en-ZA"/>
        </w:rPr>
      </w:pPr>
      <w:hyperlink w:anchor="_Toc17120055" w:history="1">
        <w:r w:rsidR="003F5795" w:rsidRPr="003F5795">
          <w:rPr>
            <w:rStyle w:val="Hyperlink"/>
          </w:rPr>
          <w:t>3.</w:t>
        </w:r>
        <w:r w:rsidR="003F5795" w:rsidRPr="003F5795">
          <w:rPr>
            <w:rFonts w:eastAsiaTheme="minorEastAsia"/>
            <w:lang w:val="en-ZA" w:eastAsia="en-ZA"/>
          </w:rPr>
          <w:tab/>
        </w:r>
        <w:r w:rsidR="003F5795" w:rsidRPr="003F5795">
          <w:rPr>
            <w:rStyle w:val="Hyperlink"/>
          </w:rPr>
          <w:t>SCOPE OF POLICY</w:t>
        </w:r>
        <w:r w:rsidR="003F5795" w:rsidRPr="003F5795">
          <w:rPr>
            <w:webHidden/>
          </w:rPr>
          <w:tab/>
        </w:r>
        <w:r w:rsidR="003F5795" w:rsidRPr="003F5795">
          <w:rPr>
            <w:webHidden/>
          </w:rPr>
          <w:fldChar w:fldCharType="begin"/>
        </w:r>
        <w:r w:rsidR="003F5795" w:rsidRPr="003F5795">
          <w:rPr>
            <w:webHidden/>
          </w:rPr>
          <w:instrText xml:space="preserve"> PAGEREF _Toc17120055 \h </w:instrText>
        </w:r>
        <w:r w:rsidR="003F5795" w:rsidRPr="003F5795">
          <w:rPr>
            <w:webHidden/>
          </w:rPr>
        </w:r>
        <w:r w:rsidR="003F5795" w:rsidRPr="003F5795">
          <w:rPr>
            <w:webHidden/>
          </w:rPr>
          <w:fldChar w:fldCharType="separate"/>
        </w:r>
        <w:r w:rsidR="003F35E9">
          <w:rPr>
            <w:webHidden/>
          </w:rPr>
          <w:t>2</w:t>
        </w:r>
        <w:r w:rsidR="003F5795" w:rsidRPr="003F5795">
          <w:rPr>
            <w:webHidden/>
          </w:rPr>
          <w:fldChar w:fldCharType="end"/>
        </w:r>
      </w:hyperlink>
    </w:p>
    <w:p w14:paraId="53225626" w14:textId="0034A02C" w:rsidR="003F5795" w:rsidRPr="003F5795" w:rsidRDefault="00133590" w:rsidP="00A570F1">
      <w:pPr>
        <w:pStyle w:val="TOC1"/>
        <w:rPr>
          <w:rFonts w:eastAsiaTheme="minorEastAsia"/>
          <w:lang w:val="en-ZA" w:eastAsia="en-ZA"/>
        </w:rPr>
      </w:pPr>
      <w:hyperlink w:anchor="_Toc17120056" w:history="1">
        <w:r w:rsidR="003F5795" w:rsidRPr="003F5795">
          <w:rPr>
            <w:rStyle w:val="Hyperlink"/>
          </w:rPr>
          <w:t>4.</w:t>
        </w:r>
        <w:r w:rsidR="003F5795" w:rsidRPr="003F5795">
          <w:rPr>
            <w:rFonts w:eastAsiaTheme="minorEastAsia"/>
            <w:lang w:val="en-ZA" w:eastAsia="en-ZA"/>
          </w:rPr>
          <w:tab/>
        </w:r>
        <w:r w:rsidR="003F5795" w:rsidRPr="003F5795">
          <w:rPr>
            <w:rStyle w:val="Hyperlink"/>
          </w:rPr>
          <w:t>APPLICABLE ACCOUNTING STANDARDS</w:t>
        </w:r>
        <w:r w:rsidR="003F5795" w:rsidRPr="003F5795">
          <w:rPr>
            <w:webHidden/>
          </w:rPr>
          <w:tab/>
        </w:r>
        <w:r w:rsidR="003F5795" w:rsidRPr="003F5795">
          <w:rPr>
            <w:webHidden/>
          </w:rPr>
          <w:fldChar w:fldCharType="begin"/>
        </w:r>
        <w:r w:rsidR="003F5795" w:rsidRPr="003F5795">
          <w:rPr>
            <w:webHidden/>
          </w:rPr>
          <w:instrText xml:space="preserve"> PAGEREF _Toc17120056 \h </w:instrText>
        </w:r>
        <w:r w:rsidR="003F5795" w:rsidRPr="003F5795">
          <w:rPr>
            <w:webHidden/>
          </w:rPr>
        </w:r>
        <w:r w:rsidR="003F5795" w:rsidRPr="003F5795">
          <w:rPr>
            <w:webHidden/>
          </w:rPr>
          <w:fldChar w:fldCharType="separate"/>
        </w:r>
        <w:r w:rsidR="003F35E9">
          <w:rPr>
            <w:webHidden/>
          </w:rPr>
          <w:t>2</w:t>
        </w:r>
        <w:r w:rsidR="003F5795" w:rsidRPr="003F5795">
          <w:rPr>
            <w:webHidden/>
          </w:rPr>
          <w:fldChar w:fldCharType="end"/>
        </w:r>
      </w:hyperlink>
    </w:p>
    <w:p w14:paraId="674FD315" w14:textId="301F11C7" w:rsidR="003F5795" w:rsidRPr="003F5795" w:rsidRDefault="00133590" w:rsidP="00A570F1">
      <w:pPr>
        <w:pStyle w:val="TOC1"/>
        <w:rPr>
          <w:rFonts w:eastAsiaTheme="minorEastAsia"/>
          <w:lang w:val="en-ZA" w:eastAsia="en-ZA"/>
        </w:rPr>
      </w:pPr>
      <w:hyperlink w:anchor="_Toc17120057" w:history="1">
        <w:r w:rsidR="003F5795" w:rsidRPr="003F5795">
          <w:rPr>
            <w:rStyle w:val="Hyperlink"/>
          </w:rPr>
          <w:t>5.</w:t>
        </w:r>
        <w:r w:rsidR="003F5795" w:rsidRPr="003F5795">
          <w:rPr>
            <w:rFonts w:eastAsiaTheme="minorEastAsia"/>
            <w:lang w:val="en-ZA" w:eastAsia="en-ZA"/>
          </w:rPr>
          <w:tab/>
        </w:r>
        <w:r w:rsidR="003F5795" w:rsidRPr="003F5795">
          <w:rPr>
            <w:rStyle w:val="Hyperlink"/>
          </w:rPr>
          <w:t>METHODOLOGY</w:t>
        </w:r>
        <w:r w:rsidR="003F5795" w:rsidRPr="003F5795">
          <w:rPr>
            <w:webHidden/>
          </w:rPr>
          <w:tab/>
        </w:r>
        <w:r w:rsidR="003F5795" w:rsidRPr="003F5795">
          <w:rPr>
            <w:webHidden/>
          </w:rPr>
          <w:fldChar w:fldCharType="begin"/>
        </w:r>
        <w:r w:rsidR="003F5795" w:rsidRPr="003F5795">
          <w:rPr>
            <w:webHidden/>
          </w:rPr>
          <w:instrText xml:space="preserve"> PAGEREF _Toc17120057 \h </w:instrText>
        </w:r>
        <w:r w:rsidR="003F5795" w:rsidRPr="003F5795">
          <w:rPr>
            <w:webHidden/>
          </w:rPr>
        </w:r>
        <w:r w:rsidR="003F5795" w:rsidRPr="003F5795">
          <w:rPr>
            <w:webHidden/>
          </w:rPr>
          <w:fldChar w:fldCharType="separate"/>
        </w:r>
        <w:r w:rsidR="003F35E9">
          <w:rPr>
            <w:webHidden/>
          </w:rPr>
          <w:t>3</w:t>
        </w:r>
        <w:r w:rsidR="003F5795" w:rsidRPr="003F5795">
          <w:rPr>
            <w:webHidden/>
          </w:rPr>
          <w:fldChar w:fldCharType="end"/>
        </w:r>
      </w:hyperlink>
    </w:p>
    <w:p w14:paraId="7C61C051" w14:textId="333D1F5B" w:rsidR="003F5795" w:rsidRPr="003F5795" w:rsidRDefault="00133590" w:rsidP="003F5795">
      <w:pPr>
        <w:pStyle w:val="TOC2"/>
        <w:rPr>
          <w:rFonts w:ascii="Arial" w:eastAsiaTheme="minorEastAsia" w:hAnsi="Arial" w:cs="Arial"/>
          <w:noProof/>
          <w:sz w:val="22"/>
          <w:szCs w:val="22"/>
          <w:lang w:val="en-ZA" w:eastAsia="en-ZA"/>
        </w:rPr>
      </w:pPr>
      <w:hyperlink w:anchor="_Toc17120058" w:history="1">
        <w:r w:rsidR="003F5795" w:rsidRPr="003F5795">
          <w:rPr>
            <w:rStyle w:val="Hyperlink"/>
            <w:rFonts w:ascii="Arial" w:hAnsi="Arial" w:cs="Arial"/>
            <w:noProof/>
            <w:sz w:val="22"/>
            <w:szCs w:val="22"/>
          </w:rPr>
          <w:t>5.1</w:t>
        </w:r>
        <w:r w:rsidR="003F5795" w:rsidRPr="003F5795">
          <w:rPr>
            <w:rFonts w:ascii="Arial" w:eastAsiaTheme="minorEastAsia" w:hAnsi="Arial" w:cs="Arial"/>
            <w:noProof/>
            <w:sz w:val="22"/>
            <w:szCs w:val="22"/>
            <w:lang w:val="en-ZA" w:eastAsia="en-ZA"/>
          </w:rPr>
          <w:tab/>
        </w:r>
        <w:r w:rsidR="003F5795" w:rsidRPr="003F5795">
          <w:rPr>
            <w:rStyle w:val="Hyperlink"/>
            <w:rFonts w:ascii="Arial" w:hAnsi="Arial" w:cs="Arial"/>
            <w:noProof/>
            <w:sz w:val="22"/>
            <w:szCs w:val="22"/>
          </w:rPr>
          <w:t>Timing of Assessment</w:t>
        </w:r>
        <w:r w:rsidR="003F5795" w:rsidRPr="003F5795">
          <w:rPr>
            <w:rFonts w:ascii="Arial" w:hAnsi="Arial" w:cs="Arial"/>
            <w:noProof/>
            <w:webHidden/>
            <w:sz w:val="22"/>
            <w:szCs w:val="22"/>
          </w:rPr>
          <w:tab/>
        </w:r>
        <w:r w:rsidR="003F5795" w:rsidRPr="003F5795">
          <w:rPr>
            <w:rFonts w:ascii="Arial" w:hAnsi="Arial" w:cs="Arial"/>
            <w:noProof/>
            <w:webHidden/>
            <w:sz w:val="22"/>
            <w:szCs w:val="22"/>
          </w:rPr>
          <w:fldChar w:fldCharType="begin"/>
        </w:r>
        <w:r w:rsidR="003F5795" w:rsidRPr="003F5795">
          <w:rPr>
            <w:rFonts w:ascii="Arial" w:hAnsi="Arial" w:cs="Arial"/>
            <w:noProof/>
            <w:webHidden/>
            <w:sz w:val="22"/>
            <w:szCs w:val="22"/>
          </w:rPr>
          <w:instrText xml:space="preserve"> PAGEREF _Toc17120058 \h </w:instrText>
        </w:r>
        <w:r w:rsidR="003F5795" w:rsidRPr="003F5795">
          <w:rPr>
            <w:rFonts w:ascii="Arial" w:hAnsi="Arial" w:cs="Arial"/>
            <w:noProof/>
            <w:webHidden/>
            <w:sz w:val="22"/>
            <w:szCs w:val="22"/>
          </w:rPr>
        </w:r>
        <w:r w:rsidR="003F5795" w:rsidRPr="003F5795">
          <w:rPr>
            <w:rFonts w:ascii="Arial" w:hAnsi="Arial" w:cs="Arial"/>
            <w:noProof/>
            <w:webHidden/>
            <w:sz w:val="22"/>
            <w:szCs w:val="22"/>
          </w:rPr>
          <w:fldChar w:fldCharType="separate"/>
        </w:r>
        <w:r w:rsidR="003F35E9">
          <w:rPr>
            <w:rFonts w:ascii="Arial" w:hAnsi="Arial" w:cs="Arial"/>
            <w:noProof/>
            <w:webHidden/>
            <w:sz w:val="22"/>
            <w:szCs w:val="22"/>
          </w:rPr>
          <w:t>3</w:t>
        </w:r>
        <w:r w:rsidR="003F5795" w:rsidRPr="003F5795">
          <w:rPr>
            <w:rFonts w:ascii="Arial" w:hAnsi="Arial" w:cs="Arial"/>
            <w:noProof/>
            <w:webHidden/>
            <w:sz w:val="22"/>
            <w:szCs w:val="22"/>
          </w:rPr>
          <w:fldChar w:fldCharType="end"/>
        </w:r>
      </w:hyperlink>
    </w:p>
    <w:p w14:paraId="4D1BCEA6" w14:textId="5D30B692" w:rsidR="003F5795" w:rsidRPr="003F5795" w:rsidRDefault="00133590" w:rsidP="003F5795">
      <w:pPr>
        <w:pStyle w:val="TOC2"/>
        <w:rPr>
          <w:rFonts w:ascii="Arial" w:eastAsiaTheme="minorEastAsia" w:hAnsi="Arial" w:cs="Arial"/>
          <w:noProof/>
          <w:sz w:val="22"/>
          <w:szCs w:val="22"/>
          <w:lang w:val="en-ZA" w:eastAsia="en-ZA"/>
        </w:rPr>
      </w:pPr>
      <w:hyperlink w:anchor="_Toc17120059" w:history="1">
        <w:r w:rsidR="003F5795" w:rsidRPr="003F5795">
          <w:rPr>
            <w:rStyle w:val="Hyperlink"/>
            <w:rFonts w:ascii="Arial" w:hAnsi="Arial" w:cs="Arial"/>
            <w:noProof/>
            <w:sz w:val="22"/>
            <w:szCs w:val="22"/>
          </w:rPr>
          <w:t>5.2</w:t>
        </w:r>
        <w:r w:rsidR="003F5795" w:rsidRPr="003F5795">
          <w:rPr>
            <w:rFonts w:ascii="Arial" w:eastAsiaTheme="minorEastAsia" w:hAnsi="Arial" w:cs="Arial"/>
            <w:noProof/>
            <w:sz w:val="22"/>
            <w:szCs w:val="22"/>
            <w:lang w:val="en-ZA" w:eastAsia="en-ZA"/>
          </w:rPr>
          <w:tab/>
        </w:r>
        <w:r w:rsidR="003F5795" w:rsidRPr="003F5795">
          <w:rPr>
            <w:rStyle w:val="Hyperlink"/>
            <w:rFonts w:ascii="Arial" w:hAnsi="Arial" w:cs="Arial"/>
            <w:noProof/>
            <w:sz w:val="22"/>
            <w:szCs w:val="22"/>
          </w:rPr>
          <w:t>Evidence of Impairment</w:t>
        </w:r>
        <w:r w:rsidR="003F5795" w:rsidRPr="003F5795">
          <w:rPr>
            <w:rFonts w:ascii="Arial" w:hAnsi="Arial" w:cs="Arial"/>
            <w:noProof/>
            <w:webHidden/>
            <w:sz w:val="22"/>
            <w:szCs w:val="22"/>
          </w:rPr>
          <w:tab/>
        </w:r>
        <w:r w:rsidR="003F5795" w:rsidRPr="003F5795">
          <w:rPr>
            <w:rFonts w:ascii="Arial" w:hAnsi="Arial" w:cs="Arial"/>
            <w:noProof/>
            <w:webHidden/>
            <w:sz w:val="22"/>
            <w:szCs w:val="22"/>
          </w:rPr>
          <w:fldChar w:fldCharType="begin"/>
        </w:r>
        <w:r w:rsidR="003F5795" w:rsidRPr="003F5795">
          <w:rPr>
            <w:rFonts w:ascii="Arial" w:hAnsi="Arial" w:cs="Arial"/>
            <w:noProof/>
            <w:webHidden/>
            <w:sz w:val="22"/>
            <w:szCs w:val="22"/>
          </w:rPr>
          <w:instrText xml:space="preserve"> PAGEREF _Toc17120059 \h </w:instrText>
        </w:r>
        <w:r w:rsidR="003F5795" w:rsidRPr="003F5795">
          <w:rPr>
            <w:rFonts w:ascii="Arial" w:hAnsi="Arial" w:cs="Arial"/>
            <w:noProof/>
            <w:webHidden/>
            <w:sz w:val="22"/>
            <w:szCs w:val="22"/>
          </w:rPr>
        </w:r>
        <w:r w:rsidR="003F5795" w:rsidRPr="003F5795">
          <w:rPr>
            <w:rFonts w:ascii="Arial" w:hAnsi="Arial" w:cs="Arial"/>
            <w:noProof/>
            <w:webHidden/>
            <w:sz w:val="22"/>
            <w:szCs w:val="22"/>
          </w:rPr>
          <w:fldChar w:fldCharType="separate"/>
        </w:r>
        <w:r w:rsidR="003F35E9">
          <w:rPr>
            <w:rFonts w:ascii="Arial" w:hAnsi="Arial" w:cs="Arial"/>
            <w:noProof/>
            <w:webHidden/>
            <w:sz w:val="22"/>
            <w:szCs w:val="22"/>
          </w:rPr>
          <w:t>3</w:t>
        </w:r>
        <w:r w:rsidR="003F5795" w:rsidRPr="003F5795">
          <w:rPr>
            <w:rFonts w:ascii="Arial" w:hAnsi="Arial" w:cs="Arial"/>
            <w:noProof/>
            <w:webHidden/>
            <w:sz w:val="22"/>
            <w:szCs w:val="22"/>
          </w:rPr>
          <w:fldChar w:fldCharType="end"/>
        </w:r>
      </w:hyperlink>
    </w:p>
    <w:p w14:paraId="3ED38D72" w14:textId="0D5D9AE0" w:rsidR="003F5795" w:rsidRPr="003F5795" w:rsidRDefault="00133590" w:rsidP="003F5795">
      <w:pPr>
        <w:pStyle w:val="TOC2"/>
        <w:rPr>
          <w:rFonts w:ascii="Arial" w:eastAsiaTheme="minorEastAsia" w:hAnsi="Arial" w:cs="Arial"/>
          <w:noProof/>
          <w:sz w:val="22"/>
          <w:szCs w:val="22"/>
          <w:lang w:val="en-ZA" w:eastAsia="en-ZA"/>
        </w:rPr>
      </w:pPr>
      <w:hyperlink w:anchor="_Toc17120067" w:history="1">
        <w:r w:rsidR="003F5795" w:rsidRPr="003F5795">
          <w:rPr>
            <w:rStyle w:val="Hyperlink"/>
            <w:rFonts w:ascii="Arial" w:hAnsi="Arial" w:cs="Arial"/>
            <w:noProof/>
            <w:sz w:val="22"/>
            <w:szCs w:val="22"/>
          </w:rPr>
          <w:t>5.3</w:t>
        </w:r>
        <w:r w:rsidR="003F5795" w:rsidRPr="003F5795">
          <w:rPr>
            <w:rFonts w:ascii="Arial" w:eastAsiaTheme="minorEastAsia" w:hAnsi="Arial" w:cs="Arial"/>
            <w:noProof/>
            <w:sz w:val="22"/>
            <w:szCs w:val="22"/>
            <w:lang w:val="en-ZA" w:eastAsia="en-ZA"/>
          </w:rPr>
          <w:tab/>
        </w:r>
        <w:r w:rsidR="003F5795" w:rsidRPr="003F5795">
          <w:rPr>
            <w:rStyle w:val="Hyperlink"/>
            <w:rFonts w:ascii="Arial" w:hAnsi="Arial" w:cs="Arial"/>
            <w:noProof/>
            <w:sz w:val="22"/>
            <w:szCs w:val="22"/>
          </w:rPr>
          <w:t>Calculation and Recognition of Impairment Loss</w:t>
        </w:r>
        <w:r w:rsidR="003F5795" w:rsidRPr="003F5795">
          <w:rPr>
            <w:rFonts w:ascii="Arial" w:hAnsi="Arial" w:cs="Arial"/>
            <w:noProof/>
            <w:webHidden/>
            <w:sz w:val="22"/>
            <w:szCs w:val="22"/>
          </w:rPr>
          <w:tab/>
        </w:r>
        <w:r w:rsidR="003F5795" w:rsidRPr="003F5795">
          <w:rPr>
            <w:rFonts w:ascii="Arial" w:hAnsi="Arial" w:cs="Arial"/>
            <w:noProof/>
            <w:webHidden/>
            <w:sz w:val="22"/>
            <w:szCs w:val="22"/>
          </w:rPr>
          <w:fldChar w:fldCharType="begin"/>
        </w:r>
        <w:r w:rsidR="003F5795" w:rsidRPr="003F5795">
          <w:rPr>
            <w:rFonts w:ascii="Arial" w:hAnsi="Arial" w:cs="Arial"/>
            <w:noProof/>
            <w:webHidden/>
            <w:sz w:val="22"/>
            <w:szCs w:val="22"/>
          </w:rPr>
          <w:instrText xml:space="preserve"> PAGEREF _Toc17120067 \h </w:instrText>
        </w:r>
        <w:r w:rsidR="003F5795" w:rsidRPr="003F5795">
          <w:rPr>
            <w:rFonts w:ascii="Arial" w:hAnsi="Arial" w:cs="Arial"/>
            <w:noProof/>
            <w:webHidden/>
            <w:sz w:val="22"/>
            <w:szCs w:val="22"/>
          </w:rPr>
        </w:r>
        <w:r w:rsidR="003F5795" w:rsidRPr="003F5795">
          <w:rPr>
            <w:rFonts w:ascii="Arial" w:hAnsi="Arial" w:cs="Arial"/>
            <w:noProof/>
            <w:webHidden/>
            <w:sz w:val="22"/>
            <w:szCs w:val="22"/>
          </w:rPr>
          <w:fldChar w:fldCharType="separate"/>
        </w:r>
        <w:r w:rsidR="003F35E9">
          <w:rPr>
            <w:rFonts w:ascii="Arial" w:hAnsi="Arial" w:cs="Arial"/>
            <w:noProof/>
            <w:webHidden/>
            <w:sz w:val="22"/>
            <w:szCs w:val="22"/>
          </w:rPr>
          <w:t>4</w:t>
        </w:r>
        <w:r w:rsidR="003F5795" w:rsidRPr="003F5795">
          <w:rPr>
            <w:rFonts w:ascii="Arial" w:hAnsi="Arial" w:cs="Arial"/>
            <w:noProof/>
            <w:webHidden/>
            <w:sz w:val="22"/>
            <w:szCs w:val="22"/>
          </w:rPr>
          <w:fldChar w:fldCharType="end"/>
        </w:r>
      </w:hyperlink>
    </w:p>
    <w:p w14:paraId="54E631C5" w14:textId="58219C6B" w:rsidR="003F5795" w:rsidRPr="003F5795" w:rsidRDefault="00133590" w:rsidP="003F5795">
      <w:pPr>
        <w:pStyle w:val="TOC2"/>
        <w:rPr>
          <w:rFonts w:ascii="Arial" w:eastAsiaTheme="minorEastAsia" w:hAnsi="Arial" w:cs="Arial"/>
          <w:noProof/>
          <w:sz w:val="22"/>
          <w:szCs w:val="22"/>
          <w:lang w:val="en-ZA" w:eastAsia="en-ZA"/>
        </w:rPr>
      </w:pPr>
      <w:hyperlink w:anchor="_Toc17120068" w:history="1">
        <w:r w:rsidR="003F5795" w:rsidRPr="003F5795">
          <w:rPr>
            <w:rStyle w:val="Hyperlink"/>
            <w:rFonts w:ascii="Arial" w:hAnsi="Arial" w:cs="Arial"/>
            <w:noProof/>
            <w:sz w:val="22"/>
            <w:szCs w:val="22"/>
          </w:rPr>
          <w:t>5.4</w:t>
        </w:r>
        <w:r w:rsidR="003F5795" w:rsidRPr="003F5795">
          <w:rPr>
            <w:rFonts w:ascii="Arial" w:eastAsiaTheme="minorEastAsia" w:hAnsi="Arial" w:cs="Arial"/>
            <w:noProof/>
            <w:sz w:val="22"/>
            <w:szCs w:val="22"/>
            <w:lang w:val="en-ZA" w:eastAsia="en-ZA"/>
          </w:rPr>
          <w:tab/>
        </w:r>
        <w:r w:rsidR="003F5795" w:rsidRPr="003F5795">
          <w:rPr>
            <w:rStyle w:val="Hyperlink"/>
            <w:rFonts w:ascii="Arial" w:hAnsi="Arial" w:cs="Arial"/>
            <w:noProof/>
            <w:sz w:val="22"/>
            <w:szCs w:val="22"/>
          </w:rPr>
          <w:t>Individually Significant Receivables</w:t>
        </w:r>
        <w:r w:rsidR="003F5795" w:rsidRPr="003F5795">
          <w:rPr>
            <w:rFonts w:ascii="Arial" w:hAnsi="Arial" w:cs="Arial"/>
            <w:noProof/>
            <w:webHidden/>
            <w:sz w:val="22"/>
            <w:szCs w:val="22"/>
          </w:rPr>
          <w:tab/>
        </w:r>
        <w:r w:rsidR="003F5795" w:rsidRPr="003F5795">
          <w:rPr>
            <w:rFonts w:ascii="Arial" w:hAnsi="Arial" w:cs="Arial"/>
            <w:noProof/>
            <w:webHidden/>
            <w:sz w:val="22"/>
            <w:szCs w:val="22"/>
          </w:rPr>
          <w:fldChar w:fldCharType="begin"/>
        </w:r>
        <w:r w:rsidR="003F5795" w:rsidRPr="003F5795">
          <w:rPr>
            <w:rFonts w:ascii="Arial" w:hAnsi="Arial" w:cs="Arial"/>
            <w:noProof/>
            <w:webHidden/>
            <w:sz w:val="22"/>
            <w:szCs w:val="22"/>
          </w:rPr>
          <w:instrText xml:space="preserve"> PAGEREF _Toc17120068 \h </w:instrText>
        </w:r>
        <w:r w:rsidR="003F5795" w:rsidRPr="003F5795">
          <w:rPr>
            <w:rFonts w:ascii="Arial" w:hAnsi="Arial" w:cs="Arial"/>
            <w:noProof/>
            <w:webHidden/>
            <w:sz w:val="22"/>
            <w:szCs w:val="22"/>
          </w:rPr>
        </w:r>
        <w:r w:rsidR="003F5795" w:rsidRPr="003F5795">
          <w:rPr>
            <w:rFonts w:ascii="Arial" w:hAnsi="Arial" w:cs="Arial"/>
            <w:noProof/>
            <w:webHidden/>
            <w:sz w:val="22"/>
            <w:szCs w:val="22"/>
          </w:rPr>
          <w:fldChar w:fldCharType="separate"/>
        </w:r>
        <w:r w:rsidR="003F35E9">
          <w:rPr>
            <w:rFonts w:ascii="Arial" w:hAnsi="Arial" w:cs="Arial"/>
            <w:noProof/>
            <w:webHidden/>
            <w:sz w:val="22"/>
            <w:szCs w:val="22"/>
          </w:rPr>
          <w:t>5</w:t>
        </w:r>
        <w:r w:rsidR="003F5795" w:rsidRPr="003F5795">
          <w:rPr>
            <w:rFonts w:ascii="Arial" w:hAnsi="Arial" w:cs="Arial"/>
            <w:noProof/>
            <w:webHidden/>
            <w:sz w:val="22"/>
            <w:szCs w:val="22"/>
          </w:rPr>
          <w:fldChar w:fldCharType="end"/>
        </w:r>
      </w:hyperlink>
    </w:p>
    <w:p w14:paraId="1E1026DD" w14:textId="2659DB6D" w:rsidR="003F5795" w:rsidRDefault="00133590" w:rsidP="003F5795">
      <w:pPr>
        <w:pStyle w:val="TOC2"/>
        <w:rPr>
          <w:rFonts w:ascii="Arial" w:hAnsi="Arial" w:cs="Arial"/>
          <w:noProof/>
          <w:sz w:val="22"/>
          <w:szCs w:val="22"/>
        </w:rPr>
      </w:pPr>
      <w:hyperlink w:anchor="_Toc17120069" w:history="1">
        <w:r w:rsidR="003F5795" w:rsidRPr="003F5795">
          <w:rPr>
            <w:rStyle w:val="Hyperlink"/>
            <w:rFonts w:ascii="Arial" w:hAnsi="Arial" w:cs="Arial"/>
            <w:noProof/>
            <w:sz w:val="22"/>
            <w:szCs w:val="22"/>
          </w:rPr>
          <w:t>5.5</w:t>
        </w:r>
        <w:r w:rsidR="003F5795" w:rsidRPr="003F5795">
          <w:rPr>
            <w:rFonts w:ascii="Arial" w:eastAsiaTheme="minorEastAsia" w:hAnsi="Arial" w:cs="Arial"/>
            <w:noProof/>
            <w:sz w:val="22"/>
            <w:szCs w:val="22"/>
            <w:lang w:val="en-ZA" w:eastAsia="en-ZA"/>
          </w:rPr>
          <w:tab/>
        </w:r>
        <w:r w:rsidR="003F5795" w:rsidRPr="003F5795">
          <w:rPr>
            <w:rStyle w:val="Hyperlink"/>
            <w:rFonts w:ascii="Arial" w:hAnsi="Arial" w:cs="Arial"/>
            <w:noProof/>
            <w:sz w:val="22"/>
            <w:szCs w:val="22"/>
          </w:rPr>
          <w:t>Risk Categories</w:t>
        </w:r>
        <w:r w:rsidR="003F5795" w:rsidRPr="003F5795">
          <w:rPr>
            <w:rFonts w:ascii="Arial" w:hAnsi="Arial" w:cs="Arial"/>
            <w:noProof/>
            <w:webHidden/>
            <w:sz w:val="22"/>
            <w:szCs w:val="22"/>
          </w:rPr>
          <w:tab/>
        </w:r>
        <w:r w:rsidR="003F5795" w:rsidRPr="003F5795">
          <w:rPr>
            <w:rFonts w:ascii="Arial" w:hAnsi="Arial" w:cs="Arial"/>
            <w:noProof/>
            <w:webHidden/>
            <w:sz w:val="22"/>
            <w:szCs w:val="22"/>
          </w:rPr>
          <w:fldChar w:fldCharType="begin"/>
        </w:r>
        <w:r w:rsidR="003F5795" w:rsidRPr="003F5795">
          <w:rPr>
            <w:rFonts w:ascii="Arial" w:hAnsi="Arial" w:cs="Arial"/>
            <w:noProof/>
            <w:webHidden/>
            <w:sz w:val="22"/>
            <w:szCs w:val="22"/>
          </w:rPr>
          <w:instrText xml:space="preserve"> PAGEREF _Toc17120069 \h </w:instrText>
        </w:r>
        <w:r w:rsidR="003F5795" w:rsidRPr="003F5795">
          <w:rPr>
            <w:rFonts w:ascii="Arial" w:hAnsi="Arial" w:cs="Arial"/>
            <w:noProof/>
            <w:webHidden/>
            <w:sz w:val="22"/>
            <w:szCs w:val="22"/>
          </w:rPr>
        </w:r>
        <w:r w:rsidR="003F5795" w:rsidRPr="003F5795">
          <w:rPr>
            <w:rFonts w:ascii="Arial" w:hAnsi="Arial" w:cs="Arial"/>
            <w:noProof/>
            <w:webHidden/>
            <w:sz w:val="22"/>
            <w:szCs w:val="22"/>
          </w:rPr>
          <w:fldChar w:fldCharType="separate"/>
        </w:r>
        <w:r w:rsidR="003F35E9">
          <w:rPr>
            <w:rFonts w:ascii="Arial" w:hAnsi="Arial" w:cs="Arial"/>
            <w:noProof/>
            <w:webHidden/>
            <w:sz w:val="22"/>
            <w:szCs w:val="22"/>
          </w:rPr>
          <w:t>5</w:t>
        </w:r>
        <w:r w:rsidR="003F5795" w:rsidRPr="003F5795">
          <w:rPr>
            <w:rFonts w:ascii="Arial" w:hAnsi="Arial" w:cs="Arial"/>
            <w:noProof/>
            <w:webHidden/>
            <w:sz w:val="22"/>
            <w:szCs w:val="22"/>
          </w:rPr>
          <w:fldChar w:fldCharType="end"/>
        </w:r>
      </w:hyperlink>
    </w:p>
    <w:p w14:paraId="6CAFAD05" w14:textId="77777777" w:rsidR="0069285A" w:rsidRPr="0069285A" w:rsidRDefault="0069285A" w:rsidP="0069285A">
      <w:pPr>
        <w:rPr>
          <w:rFonts w:eastAsiaTheme="minorEastAsia"/>
        </w:rPr>
      </w:pPr>
    </w:p>
    <w:p w14:paraId="2A8D969F" w14:textId="2066B1F3" w:rsidR="003F5795" w:rsidRPr="003F5795" w:rsidRDefault="00133590" w:rsidP="00A570F1">
      <w:pPr>
        <w:pStyle w:val="TOC1"/>
        <w:rPr>
          <w:rFonts w:eastAsiaTheme="minorEastAsia"/>
          <w:lang w:val="en-ZA" w:eastAsia="en-ZA"/>
        </w:rPr>
      </w:pPr>
      <w:hyperlink w:anchor="_Toc17120070" w:history="1">
        <w:r w:rsidR="003F5795" w:rsidRPr="003F5795">
          <w:rPr>
            <w:rStyle w:val="Hyperlink"/>
          </w:rPr>
          <w:t>6.</w:t>
        </w:r>
        <w:r w:rsidR="003F5795" w:rsidRPr="003F5795">
          <w:rPr>
            <w:rFonts w:eastAsiaTheme="minorEastAsia"/>
            <w:lang w:val="en-ZA" w:eastAsia="en-ZA"/>
          </w:rPr>
          <w:tab/>
        </w:r>
        <w:r w:rsidR="003F5795" w:rsidRPr="003F5795">
          <w:rPr>
            <w:rStyle w:val="Hyperlink"/>
          </w:rPr>
          <w:t>DISCOUNT RATE</w:t>
        </w:r>
        <w:r w:rsidR="003F5795" w:rsidRPr="003F5795">
          <w:rPr>
            <w:webHidden/>
          </w:rPr>
          <w:tab/>
        </w:r>
        <w:r w:rsidR="003F5795" w:rsidRPr="003F5795">
          <w:rPr>
            <w:webHidden/>
          </w:rPr>
          <w:fldChar w:fldCharType="begin"/>
        </w:r>
        <w:r w:rsidR="003F5795" w:rsidRPr="003F5795">
          <w:rPr>
            <w:webHidden/>
          </w:rPr>
          <w:instrText xml:space="preserve"> PAGEREF _Toc17120070 \h </w:instrText>
        </w:r>
        <w:r w:rsidR="003F5795" w:rsidRPr="003F5795">
          <w:rPr>
            <w:webHidden/>
          </w:rPr>
        </w:r>
        <w:r w:rsidR="003F5795" w:rsidRPr="003F5795">
          <w:rPr>
            <w:webHidden/>
          </w:rPr>
          <w:fldChar w:fldCharType="separate"/>
        </w:r>
        <w:r w:rsidR="003F35E9">
          <w:rPr>
            <w:webHidden/>
          </w:rPr>
          <w:t>6</w:t>
        </w:r>
        <w:r w:rsidR="003F5795" w:rsidRPr="003F5795">
          <w:rPr>
            <w:webHidden/>
          </w:rPr>
          <w:fldChar w:fldCharType="end"/>
        </w:r>
      </w:hyperlink>
    </w:p>
    <w:p w14:paraId="14D82AB4" w14:textId="77777777" w:rsidR="003F5795" w:rsidRPr="003F5795" w:rsidRDefault="00C53DC1" w:rsidP="00A570F1">
      <w:pPr>
        <w:pStyle w:val="TOC1"/>
        <w:rPr>
          <w:rFonts w:eastAsiaTheme="minorEastAsia"/>
          <w:lang w:val="en-ZA" w:eastAsia="en-ZA"/>
        </w:rPr>
      </w:pPr>
      <w:r>
        <w:t>7</w:t>
      </w:r>
      <w:r>
        <w:tab/>
        <w:t>EXPECTED CASH FLOWS</w:t>
      </w:r>
      <w:r w:rsidR="008667A5">
        <w:t xml:space="preserve"> ………</w:t>
      </w:r>
      <w:r>
        <w:t>………………………………………………………7</w:t>
      </w:r>
    </w:p>
    <w:p w14:paraId="43EB062B" w14:textId="1A0CD837" w:rsidR="003F5795" w:rsidRPr="003F5795" w:rsidRDefault="00133590" w:rsidP="00A570F1">
      <w:pPr>
        <w:pStyle w:val="TOC1"/>
        <w:rPr>
          <w:rFonts w:eastAsiaTheme="minorEastAsia"/>
          <w:lang w:val="en-ZA" w:eastAsia="en-ZA"/>
        </w:rPr>
      </w:pPr>
      <w:hyperlink w:anchor="_Toc17120073" w:history="1">
        <w:r w:rsidR="00C53DC1">
          <w:rPr>
            <w:rStyle w:val="Hyperlink"/>
          </w:rPr>
          <w:t>8</w:t>
        </w:r>
        <w:r w:rsidR="003F5795" w:rsidRPr="003F5795">
          <w:rPr>
            <w:rStyle w:val="Hyperlink"/>
          </w:rPr>
          <w:t>.</w:t>
        </w:r>
        <w:r w:rsidR="003F5795" w:rsidRPr="003F5795">
          <w:rPr>
            <w:rFonts w:eastAsiaTheme="minorEastAsia"/>
            <w:lang w:val="en-ZA" w:eastAsia="en-ZA"/>
          </w:rPr>
          <w:tab/>
        </w:r>
        <w:r w:rsidR="003F5795" w:rsidRPr="003F5795">
          <w:rPr>
            <w:rStyle w:val="Hyperlink"/>
          </w:rPr>
          <w:t xml:space="preserve">PRESENT VALUE OF </w:t>
        </w:r>
        <w:r w:rsidR="003F5795" w:rsidRPr="008667A5">
          <w:rPr>
            <w:rStyle w:val="Hyperlink"/>
          </w:rPr>
          <w:t>EXPECTED</w:t>
        </w:r>
        <w:r w:rsidR="003F5795" w:rsidRPr="003F5795">
          <w:rPr>
            <w:rStyle w:val="Hyperlink"/>
          </w:rPr>
          <w:t xml:space="preserve"> FUTURE CASH</w:t>
        </w:r>
        <w:r w:rsidR="003F5795" w:rsidRPr="003F5795">
          <w:rPr>
            <w:rStyle w:val="Hyperlink"/>
            <w:spacing w:val="-3"/>
          </w:rPr>
          <w:t xml:space="preserve"> </w:t>
        </w:r>
        <w:r w:rsidR="003F5795" w:rsidRPr="003F5795">
          <w:rPr>
            <w:rStyle w:val="Hyperlink"/>
          </w:rPr>
          <w:t>FLOWS</w:t>
        </w:r>
        <w:r w:rsidR="003F5795" w:rsidRPr="003F5795">
          <w:rPr>
            <w:webHidden/>
          </w:rPr>
          <w:tab/>
        </w:r>
        <w:r w:rsidR="003F5795" w:rsidRPr="003F5795">
          <w:rPr>
            <w:webHidden/>
          </w:rPr>
          <w:fldChar w:fldCharType="begin"/>
        </w:r>
        <w:r w:rsidR="003F5795" w:rsidRPr="003F5795">
          <w:rPr>
            <w:webHidden/>
          </w:rPr>
          <w:instrText xml:space="preserve"> PAGEREF _Toc17120073 \h </w:instrText>
        </w:r>
        <w:r w:rsidR="003F5795" w:rsidRPr="003F5795">
          <w:rPr>
            <w:webHidden/>
          </w:rPr>
        </w:r>
        <w:r w:rsidR="003F5795" w:rsidRPr="003F5795">
          <w:rPr>
            <w:webHidden/>
          </w:rPr>
          <w:fldChar w:fldCharType="separate"/>
        </w:r>
        <w:r w:rsidR="003F35E9">
          <w:rPr>
            <w:webHidden/>
          </w:rPr>
          <w:t>8</w:t>
        </w:r>
        <w:r w:rsidR="003F5795" w:rsidRPr="003F5795">
          <w:rPr>
            <w:webHidden/>
          </w:rPr>
          <w:fldChar w:fldCharType="end"/>
        </w:r>
      </w:hyperlink>
    </w:p>
    <w:p w14:paraId="2A58841A" w14:textId="25B9F76B" w:rsidR="003F5795" w:rsidRPr="008667A5" w:rsidRDefault="00133590" w:rsidP="00A570F1">
      <w:pPr>
        <w:pStyle w:val="TOC1"/>
        <w:rPr>
          <w:rFonts w:eastAsiaTheme="minorEastAsia"/>
          <w:lang w:val="en-ZA" w:eastAsia="en-ZA"/>
        </w:rPr>
      </w:pPr>
      <w:hyperlink w:anchor="_Toc17120074" w:history="1">
        <w:r w:rsidR="00C53DC1" w:rsidRPr="008667A5">
          <w:rPr>
            <w:rStyle w:val="Hyperlink"/>
          </w:rPr>
          <w:t>9</w:t>
        </w:r>
        <w:r w:rsidR="003F5795" w:rsidRPr="008667A5">
          <w:rPr>
            <w:rStyle w:val="Hyperlink"/>
          </w:rPr>
          <w:t>.</w:t>
        </w:r>
        <w:r w:rsidR="003F5795" w:rsidRPr="008667A5">
          <w:rPr>
            <w:rFonts w:eastAsiaTheme="minorEastAsia"/>
            <w:lang w:val="en-ZA" w:eastAsia="en-ZA"/>
          </w:rPr>
          <w:tab/>
        </w:r>
        <w:r w:rsidR="003F5795" w:rsidRPr="008667A5">
          <w:rPr>
            <w:rStyle w:val="Hyperlink"/>
          </w:rPr>
          <w:t>REVIEW OF METHODOLOGY</w:t>
        </w:r>
        <w:r w:rsidR="003F5795" w:rsidRPr="008667A5">
          <w:rPr>
            <w:webHidden/>
          </w:rPr>
          <w:tab/>
        </w:r>
        <w:r w:rsidR="003F5795" w:rsidRPr="008667A5">
          <w:rPr>
            <w:webHidden/>
          </w:rPr>
          <w:fldChar w:fldCharType="begin"/>
        </w:r>
        <w:r w:rsidR="003F5795" w:rsidRPr="008667A5">
          <w:rPr>
            <w:webHidden/>
          </w:rPr>
          <w:instrText xml:space="preserve"> PAGEREF _Toc17120074 \h </w:instrText>
        </w:r>
        <w:r w:rsidR="003F5795" w:rsidRPr="008667A5">
          <w:rPr>
            <w:webHidden/>
          </w:rPr>
        </w:r>
        <w:r w:rsidR="003F5795" w:rsidRPr="008667A5">
          <w:rPr>
            <w:webHidden/>
          </w:rPr>
          <w:fldChar w:fldCharType="separate"/>
        </w:r>
        <w:r w:rsidR="003F35E9">
          <w:rPr>
            <w:webHidden/>
          </w:rPr>
          <w:t>8</w:t>
        </w:r>
        <w:r w:rsidR="003F5795" w:rsidRPr="008667A5">
          <w:rPr>
            <w:webHidden/>
          </w:rPr>
          <w:fldChar w:fldCharType="end"/>
        </w:r>
      </w:hyperlink>
    </w:p>
    <w:p w14:paraId="20D0A32D" w14:textId="77777777" w:rsidR="003F5795" w:rsidRDefault="003F5795" w:rsidP="00D758E2">
      <w:pPr>
        <w:rPr>
          <w:rFonts w:eastAsia="Arial Unicode MS"/>
        </w:rPr>
      </w:pPr>
      <w:r w:rsidRPr="003F5795">
        <w:rPr>
          <w:rFonts w:ascii="Arial" w:eastAsia="Arial Unicode MS" w:hAnsi="Arial" w:cs="Arial"/>
          <w:sz w:val="22"/>
          <w:szCs w:val="22"/>
        </w:rPr>
        <w:fldChar w:fldCharType="end"/>
      </w:r>
    </w:p>
    <w:p w14:paraId="7F10C4FE" w14:textId="77777777" w:rsidR="00D758E2" w:rsidRDefault="00D758E2" w:rsidP="00D758E2">
      <w:pPr>
        <w:rPr>
          <w:rFonts w:eastAsia="Arial Unicode MS"/>
        </w:rPr>
      </w:pPr>
    </w:p>
    <w:p w14:paraId="416247B3" w14:textId="77777777" w:rsidR="00D758E2" w:rsidRDefault="00D758E2" w:rsidP="00D758E2">
      <w:pPr>
        <w:rPr>
          <w:rFonts w:eastAsia="Arial Unicode MS"/>
        </w:rPr>
      </w:pPr>
    </w:p>
    <w:p w14:paraId="72656894" w14:textId="77777777" w:rsidR="00D758E2" w:rsidRDefault="00D758E2" w:rsidP="00D758E2">
      <w:pPr>
        <w:rPr>
          <w:rFonts w:eastAsia="Arial Unicode MS"/>
        </w:rPr>
      </w:pPr>
    </w:p>
    <w:p w14:paraId="3769EBB4" w14:textId="77777777" w:rsidR="00D758E2" w:rsidRDefault="00C53DC1" w:rsidP="00AF5686">
      <w:pPr>
        <w:tabs>
          <w:tab w:val="left" w:pos="7033"/>
        </w:tabs>
        <w:rPr>
          <w:rFonts w:eastAsia="Arial Unicode MS"/>
        </w:rPr>
      </w:pPr>
      <w:r>
        <w:rPr>
          <w:rFonts w:eastAsia="Arial Unicode MS"/>
        </w:rPr>
        <w:tab/>
      </w:r>
    </w:p>
    <w:p w14:paraId="75842EA1" w14:textId="77777777" w:rsidR="00D758E2" w:rsidRDefault="00D758E2" w:rsidP="00D758E2">
      <w:pPr>
        <w:rPr>
          <w:rFonts w:eastAsia="Arial Unicode MS"/>
        </w:rPr>
      </w:pPr>
    </w:p>
    <w:p w14:paraId="6AFDD950" w14:textId="77777777" w:rsidR="0086595C" w:rsidRDefault="0086595C" w:rsidP="00D758E2">
      <w:pPr>
        <w:rPr>
          <w:rFonts w:eastAsia="Arial Unicode MS"/>
        </w:rPr>
        <w:sectPr w:rsidR="0086595C" w:rsidSect="00F9188E">
          <w:footerReference w:type="default" r:id="rId16"/>
          <w:pgSz w:w="12240" w:h="15840"/>
          <w:pgMar w:top="1239" w:right="1800" w:bottom="1701" w:left="1800" w:header="708" w:footer="108" w:gutter="0"/>
          <w:pgNumType w:start="1"/>
          <w:cols w:space="708"/>
          <w:docGrid w:linePitch="360"/>
        </w:sectPr>
      </w:pPr>
    </w:p>
    <w:p w14:paraId="2786B199" w14:textId="77777777" w:rsidR="007D0125" w:rsidRPr="00C52941" w:rsidRDefault="007D0125" w:rsidP="00F9188E">
      <w:pPr>
        <w:pStyle w:val="Heading1"/>
        <w:ind w:left="1418" w:hanging="1418"/>
      </w:pPr>
      <w:bookmarkStart w:id="1" w:name="_Toc17119782"/>
      <w:bookmarkStart w:id="2" w:name="_Toc17120053"/>
      <w:r w:rsidRPr="00C52941">
        <w:lastRenderedPageBreak/>
        <w:t>DEFINITIONS</w:t>
      </w:r>
      <w:bookmarkEnd w:id="1"/>
      <w:bookmarkEnd w:id="2"/>
    </w:p>
    <w:p w14:paraId="755804D5" w14:textId="77777777" w:rsidR="008648D6" w:rsidRPr="00D72F1B" w:rsidRDefault="008648D6" w:rsidP="008648D6">
      <w:pPr>
        <w:tabs>
          <w:tab w:val="left" w:pos="1260"/>
        </w:tabs>
        <w:ind w:left="1080"/>
        <w:jc w:val="both"/>
        <w:rPr>
          <w:rFonts w:ascii="Arial" w:eastAsia="Arial Unicode MS" w:hAnsi="Arial" w:cs="Arial"/>
          <w:b/>
          <w:sz w:val="22"/>
          <w:szCs w:val="22"/>
          <w:u w:val="single"/>
        </w:rPr>
      </w:pPr>
    </w:p>
    <w:p w14:paraId="4CBE5FCE" w14:textId="77777777" w:rsidR="007D0125" w:rsidRPr="00D72F1B" w:rsidRDefault="007D0125">
      <w:pPr>
        <w:ind w:left="540"/>
        <w:jc w:val="both"/>
        <w:rPr>
          <w:rFonts w:ascii="Arial" w:eastAsia="Arial Unicode MS" w:hAnsi="Arial" w:cs="Arial"/>
          <w:sz w:val="22"/>
          <w:szCs w:val="22"/>
        </w:rPr>
      </w:pPr>
      <w:r w:rsidRPr="00D72F1B">
        <w:rPr>
          <w:rFonts w:ascii="Arial" w:eastAsia="Arial Unicode MS" w:hAnsi="Arial" w:cs="Arial"/>
          <w:sz w:val="22"/>
          <w:szCs w:val="22"/>
        </w:rPr>
        <w:t>In this policy, unless the context indicates otherwise, the word or expression has the following meaning:</w:t>
      </w:r>
    </w:p>
    <w:p w14:paraId="3E6E4890" w14:textId="77777777" w:rsidR="007D0125" w:rsidRPr="00D72F1B" w:rsidRDefault="007D0125">
      <w:pPr>
        <w:pStyle w:val="BodyText"/>
        <w:tabs>
          <w:tab w:val="left" w:pos="540"/>
        </w:tabs>
        <w:spacing w:line="240" w:lineRule="auto"/>
        <w:rPr>
          <w:rFonts w:eastAsia="Arial Unicode MS"/>
          <w:sz w:val="22"/>
          <w:szCs w:val="22"/>
        </w:rPr>
      </w:pPr>
    </w:p>
    <w:p w14:paraId="27E29747" w14:textId="77777777" w:rsidR="00D06641" w:rsidRPr="00D72F1B" w:rsidRDefault="007D0125" w:rsidP="005D496E">
      <w:pPr>
        <w:pStyle w:val="BodyText"/>
        <w:numPr>
          <w:ilvl w:val="1"/>
          <w:numId w:val="5"/>
        </w:numPr>
        <w:spacing w:line="240" w:lineRule="auto"/>
        <w:ind w:left="567" w:hanging="567"/>
        <w:rPr>
          <w:rFonts w:eastAsia="Arial Unicode MS"/>
          <w:sz w:val="22"/>
          <w:szCs w:val="22"/>
        </w:rPr>
      </w:pPr>
      <w:r w:rsidRPr="00D72F1B">
        <w:rPr>
          <w:b/>
          <w:sz w:val="22"/>
          <w:szCs w:val="22"/>
        </w:rPr>
        <w:t>“Accounting Officer”</w:t>
      </w:r>
      <w:r w:rsidRPr="00D72F1B">
        <w:rPr>
          <w:rFonts w:eastAsia="Arial Unicode MS"/>
          <w:b/>
          <w:sz w:val="22"/>
          <w:szCs w:val="22"/>
        </w:rPr>
        <w:t xml:space="preserve"> </w:t>
      </w:r>
      <w:r w:rsidRPr="00D72F1B">
        <w:rPr>
          <w:rFonts w:eastAsia="Arial Unicode MS"/>
          <w:sz w:val="22"/>
          <w:szCs w:val="22"/>
        </w:rPr>
        <w:t xml:space="preserve">The Municipal Manager appointed in terms of </w:t>
      </w:r>
      <w:r w:rsidR="002A3E73" w:rsidRPr="00D72F1B">
        <w:rPr>
          <w:rFonts w:eastAsia="Arial Unicode MS"/>
          <w:sz w:val="22"/>
          <w:szCs w:val="22"/>
        </w:rPr>
        <w:t>Section 82</w:t>
      </w:r>
      <w:r w:rsidRPr="00D72F1B">
        <w:rPr>
          <w:rFonts w:eastAsia="Arial Unicode MS"/>
          <w:sz w:val="22"/>
          <w:szCs w:val="22"/>
        </w:rPr>
        <w:t xml:space="preserve">(1)(a) or (b) of the Municipal Structures </w:t>
      </w:r>
      <w:r w:rsidR="00871473">
        <w:rPr>
          <w:rFonts w:eastAsia="Arial Unicode MS"/>
          <w:sz w:val="22"/>
          <w:szCs w:val="22"/>
        </w:rPr>
        <w:t>Act, 1998 (Act No. 117 of 1998).</w:t>
      </w:r>
    </w:p>
    <w:p w14:paraId="3AD245E7" w14:textId="77777777" w:rsidR="00D06641" w:rsidRPr="00D72F1B" w:rsidRDefault="00D06641" w:rsidP="00D06641">
      <w:pPr>
        <w:pStyle w:val="BodyText"/>
        <w:spacing w:line="240" w:lineRule="auto"/>
        <w:ind w:left="360"/>
        <w:rPr>
          <w:rFonts w:eastAsia="Arial Unicode MS"/>
          <w:sz w:val="22"/>
          <w:szCs w:val="22"/>
        </w:rPr>
      </w:pPr>
    </w:p>
    <w:p w14:paraId="2FD070DB" w14:textId="77777777" w:rsidR="00D06641" w:rsidRPr="00604849" w:rsidRDefault="00D06641" w:rsidP="005D496E">
      <w:pPr>
        <w:pStyle w:val="BodyText"/>
        <w:numPr>
          <w:ilvl w:val="1"/>
          <w:numId w:val="5"/>
        </w:numPr>
        <w:spacing w:line="240" w:lineRule="auto"/>
        <w:ind w:left="567" w:hanging="567"/>
        <w:rPr>
          <w:rFonts w:eastAsia="Arial Unicode MS"/>
          <w:sz w:val="22"/>
          <w:szCs w:val="22"/>
        </w:rPr>
      </w:pPr>
      <w:r w:rsidRPr="00D72F1B">
        <w:rPr>
          <w:b/>
          <w:sz w:val="22"/>
          <w:szCs w:val="22"/>
        </w:rPr>
        <w:t>"Account Holder”</w:t>
      </w:r>
      <w:r w:rsidRPr="00D72F1B">
        <w:rPr>
          <w:rFonts w:eastAsia="Arial Unicode MS"/>
          <w:sz w:val="22"/>
          <w:szCs w:val="22"/>
        </w:rPr>
        <w:t xml:space="preserve"> includes a customer/consumer and refers to a</w:t>
      </w:r>
      <w:r w:rsidRPr="00D72F1B">
        <w:rPr>
          <w:sz w:val="22"/>
          <w:szCs w:val="22"/>
        </w:rPr>
        <w:t>ny occupier of any premises to which Council has agreed to supply or is actually supplying services, or if there is no occupier, then the owner of the premises and includes</w:t>
      </w:r>
      <w:r w:rsidR="00871473">
        <w:rPr>
          <w:sz w:val="22"/>
          <w:szCs w:val="22"/>
        </w:rPr>
        <w:t xml:space="preserve"> any debtor of the municipality.</w:t>
      </w:r>
    </w:p>
    <w:p w14:paraId="6A865567" w14:textId="77777777" w:rsidR="00604849" w:rsidRDefault="00604849" w:rsidP="00604849">
      <w:pPr>
        <w:pStyle w:val="ListParagraph"/>
        <w:rPr>
          <w:rFonts w:eastAsia="Arial Unicode MS"/>
          <w:szCs w:val="22"/>
        </w:rPr>
      </w:pPr>
    </w:p>
    <w:p w14:paraId="3E873413" w14:textId="77777777" w:rsidR="00483BE6"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604849">
        <w:rPr>
          <w:rFonts w:ascii="Arial" w:eastAsia="Arial Unicode MS" w:hAnsi="Arial" w:cs="Arial"/>
          <w:sz w:val="22"/>
          <w:szCs w:val="22"/>
        </w:rPr>
        <w:t>3</w:t>
      </w:r>
      <w:r w:rsidRPr="00D72F1B">
        <w:rPr>
          <w:rFonts w:ascii="Arial" w:eastAsia="Arial Unicode MS" w:hAnsi="Arial" w:cs="Arial"/>
          <w:sz w:val="22"/>
          <w:szCs w:val="22"/>
        </w:rPr>
        <w:tab/>
      </w:r>
      <w:r w:rsidRPr="00D72F1B">
        <w:rPr>
          <w:rFonts w:ascii="Arial" w:hAnsi="Arial" w:cs="Arial"/>
          <w:b/>
          <w:sz w:val="22"/>
          <w:szCs w:val="22"/>
        </w:rPr>
        <w:t>“Chief Financial Officer”</w:t>
      </w:r>
      <w:r w:rsidRPr="00D72F1B">
        <w:rPr>
          <w:rFonts w:ascii="Arial" w:eastAsia="Arial Unicode MS" w:hAnsi="Arial" w:cs="Arial"/>
          <w:b/>
          <w:sz w:val="22"/>
          <w:szCs w:val="22"/>
        </w:rPr>
        <w:t xml:space="preserve"> </w:t>
      </w:r>
      <w:r w:rsidRPr="00D72F1B">
        <w:rPr>
          <w:rFonts w:ascii="Arial" w:eastAsia="Arial Unicode MS" w:hAnsi="Arial" w:cs="Arial"/>
          <w:sz w:val="22"/>
          <w:szCs w:val="22"/>
        </w:rPr>
        <w:t>refers to the person so designated in terms of Section 75(2)(a) of the Municipal Finance Management Act, 2003 (Act No. 56 of 2003) or any person duly authorised to act on behalf of such person</w:t>
      </w:r>
      <w:r w:rsidR="00CD520C">
        <w:rPr>
          <w:rFonts w:ascii="Arial" w:eastAsia="Arial Unicode MS" w:hAnsi="Arial" w:cs="Arial"/>
          <w:sz w:val="22"/>
          <w:szCs w:val="22"/>
        </w:rPr>
        <w:t>.</w:t>
      </w:r>
    </w:p>
    <w:p w14:paraId="63E586B4" w14:textId="77777777" w:rsidR="007D0125" w:rsidRPr="00D72F1B" w:rsidRDefault="007D0125">
      <w:pPr>
        <w:ind w:left="540" w:hanging="540"/>
        <w:jc w:val="both"/>
        <w:rPr>
          <w:rFonts w:ascii="Arial" w:eastAsia="Arial Unicode MS" w:hAnsi="Arial" w:cs="Arial"/>
          <w:sz w:val="22"/>
          <w:szCs w:val="22"/>
        </w:rPr>
      </w:pPr>
    </w:p>
    <w:p w14:paraId="776DA45E" w14:textId="77777777"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604849">
        <w:rPr>
          <w:rFonts w:ascii="Arial" w:eastAsia="Arial Unicode MS" w:hAnsi="Arial" w:cs="Arial"/>
          <w:sz w:val="22"/>
          <w:szCs w:val="22"/>
        </w:rPr>
        <w:t>4</w:t>
      </w:r>
      <w:r w:rsidRPr="00D72F1B">
        <w:rPr>
          <w:rFonts w:ascii="Arial" w:eastAsia="Arial Unicode MS" w:hAnsi="Arial" w:cs="Arial"/>
          <w:sz w:val="22"/>
          <w:szCs w:val="22"/>
        </w:rPr>
        <w:tab/>
      </w:r>
      <w:r w:rsidRPr="00D72F1B">
        <w:rPr>
          <w:rFonts w:ascii="Arial" w:hAnsi="Arial" w:cs="Arial"/>
          <w:b/>
          <w:sz w:val="22"/>
          <w:szCs w:val="22"/>
        </w:rPr>
        <w:t>“Council”</w:t>
      </w:r>
      <w:r w:rsidRPr="00D72F1B">
        <w:rPr>
          <w:rFonts w:ascii="Arial" w:eastAsia="Arial Unicode MS" w:hAnsi="Arial" w:cs="Arial"/>
          <w:sz w:val="22"/>
          <w:szCs w:val="22"/>
        </w:rPr>
        <w:t xml:space="preserve"> refers to The Msunduzi Municipality and its successors in law and includes the Council of that municipality or its Executive Committee or any other body acting by virtue of any power delegated to it in terms of legislation, as well as any official to whom the Executive Committee has delegated any powers and du</w:t>
      </w:r>
      <w:r w:rsidR="00871473">
        <w:rPr>
          <w:rFonts w:ascii="Arial" w:eastAsia="Arial Unicode MS" w:hAnsi="Arial" w:cs="Arial"/>
          <w:sz w:val="22"/>
          <w:szCs w:val="22"/>
        </w:rPr>
        <w:t>ties with regard to this policy.</w:t>
      </w:r>
    </w:p>
    <w:p w14:paraId="4447A974" w14:textId="77777777" w:rsidR="007D0125" w:rsidRPr="00D72F1B" w:rsidRDefault="007D0125">
      <w:pPr>
        <w:tabs>
          <w:tab w:val="num" w:pos="540"/>
        </w:tabs>
        <w:ind w:left="540" w:hanging="540"/>
        <w:jc w:val="both"/>
        <w:rPr>
          <w:rFonts w:ascii="Arial" w:eastAsia="Arial Unicode MS" w:hAnsi="Arial" w:cs="Arial"/>
          <w:sz w:val="22"/>
          <w:szCs w:val="22"/>
        </w:rPr>
      </w:pPr>
    </w:p>
    <w:p w14:paraId="0C3C91FF" w14:textId="77777777"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604849">
        <w:rPr>
          <w:rFonts w:ascii="Arial" w:eastAsia="Arial Unicode MS" w:hAnsi="Arial" w:cs="Arial"/>
          <w:sz w:val="22"/>
          <w:szCs w:val="22"/>
        </w:rPr>
        <w:t>5</w:t>
      </w:r>
      <w:r w:rsidRPr="00D72F1B">
        <w:rPr>
          <w:rFonts w:ascii="Arial" w:eastAsia="Arial Unicode MS" w:hAnsi="Arial" w:cs="Arial"/>
          <w:sz w:val="22"/>
          <w:szCs w:val="22"/>
        </w:rPr>
        <w:tab/>
      </w:r>
      <w:r w:rsidRPr="00D72F1B">
        <w:rPr>
          <w:rFonts w:ascii="Arial" w:hAnsi="Arial" w:cs="Arial"/>
          <w:b/>
          <w:sz w:val="22"/>
          <w:szCs w:val="22"/>
        </w:rPr>
        <w:t>“Financial year”</w:t>
      </w:r>
      <w:r w:rsidRPr="00D72F1B">
        <w:rPr>
          <w:rFonts w:ascii="Arial" w:eastAsia="Arial Unicode MS" w:hAnsi="Arial" w:cs="Arial"/>
          <w:sz w:val="22"/>
          <w:szCs w:val="22"/>
        </w:rPr>
        <w:t xml:space="preserve"> refers to the period starting from 1 July in </w:t>
      </w:r>
      <w:r w:rsidR="00871473">
        <w:rPr>
          <w:rFonts w:ascii="Arial" w:eastAsia="Arial Unicode MS" w:hAnsi="Arial" w:cs="Arial"/>
          <w:sz w:val="22"/>
          <w:szCs w:val="22"/>
        </w:rPr>
        <w:t>a year to 30 June the next year.</w:t>
      </w:r>
    </w:p>
    <w:p w14:paraId="0AB9A8B9" w14:textId="77777777" w:rsidR="00905C9D" w:rsidRPr="00D72F1B" w:rsidRDefault="00905C9D" w:rsidP="00905C9D">
      <w:pPr>
        <w:ind w:left="540" w:hanging="540"/>
        <w:jc w:val="both"/>
        <w:rPr>
          <w:rFonts w:ascii="Arial" w:eastAsia="Arial Unicode MS" w:hAnsi="Arial" w:cs="Arial"/>
          <w:sz w:val="22"/>
          <w:szCs w:val="22"/>
        </w:rPr>
      </w:pPr>
    </w:p>
    <w:p w14:paraId="0F8A86D2" w14:textId="77777777" w:rsidR="007D0125" w:rsidRDefault="007D0125">
      <w:pPr>
        <w:ind w:left="540" w:hanging="540"/>
        <w:jc w:val="both"/>
        <w:rPr>
          <w:rFonts w:ascii="Arial" w:hAnsi="Arial" w:cs="Arial"/>
          <w:sz w:val="22"/>
          <w:szCs w:val="22"/>
        </w:rPr>
      </w:pPr>
      <w:r w:rsidRPr="00D72F1B">
        <w:rPr>
          <w:rFonts w:ascii="Arial" w:hAnsi="Arial" w:cs="Arial"/>
          <w:sz w:val="22"/>
          <w:szCs w:val="22"/>
        </w:rPr>
        <w:t>1.</w:t>
      </w:r>
      <w:r w:rsidR="00604849">
        <w:rPr>
          <w:rFonts w:ascii="Arial" w:hAnsi="Arial" w:cs="Arial"/>
          <w:sz w:val="22"/>
          <w:szCs w:val="22"/>
        </w:rPr>
        <w:t>6</w:t>
      </w:r>
      <w:r w:rsidRPr="00D72F1B">
        <w:rPr>
          <w:rFonts w:ascii="Arial" w:hAnsi="Arial" w:cs="Arial"/>
          <w:sz w:val="22"/>
          <w:szCs w:val="22"/>
        </w:rPr>
        <w:tab/>
      </w:r>
      <w:r w:rsidR="002B3999">
        <w:rPr>
          <w:rFonts w:ascii="Arial" w:hAnsi="Arial" w:cs="Arial"/>
          <w:b/>
          <w:sz w:val="22"/>
          <w:szCs w:val="22"/>
        </w:rPr>
        <w:t>“</w:t>
      </w:r>
      <w:r w:rsidR="0084723E">
        <w:rPr>
          <w:rFonts w:ascii="Arial" w:hAnsi="Arial" w:cs="Arial"/>
          <w:b/>
          <w:sz w:val="22"/>
          <w:szCs w:val="22"/>
        </w:rPr>
        <w:t>GRAP</w:t>
      </w:r>
      <w:r w:rsidRPr="00D72F1B">
        <w:rPr>
          <w:rFonts w:ascii="Arial" w:hAnsi="Arial" w:cs="Arial"/>
          <w:b/>
          <w:sz w:val="22"/>
          <w:szCs w:val="22"/>
        </w:rPr>
        <w:t xml:space="preserve">” </w:t>
      </w:r>
      <w:r w:rsidR="002B3999">
        <w:rPr>
          <w:rFonts w:ascii="Arial" w:hAnsi="Arial" w:cs="Arial"/>
          <w:sz w:val="22"/>
          <w:szCs w:val="22"/>
        </w:rPr>
        <w:t>means Generally Recognized Accounting Practices</w:t>
      </w:r>
      <w:r w:rsidR="00871473">
        <w:rPr>
          <w:rFonts w:ascii="Arial" w:hAnsi="Arial" w:cs="Arial"/>
          <w:sz w:val="22"/>
          <w:szCs w:val="22"/>
        </w:rPr>
        <w:t>.</w:t>
      </w:r>
    </w:p>
    <w:p w14:paraId="5062CFF3" w14:textId="77777777" w:rsidR="00604849" w:rsidRDefault="00604849">
      <w:pPr>
        <w:ind w:left="540" w:hanging="540"/>
        <w:jc w:val="both"/>
        <w:rPr>
          <w:rFonts w:ascii="Arial" w:hAnsi="Arial" w:cs="Arial"/>
          <w:sz w:val="22"/>
          <w:szCs w:val="22"/>
        </w:rPr>
      </w:pPr>
    </w:p>
    <w:p w14:paraId="79D076D0" w14:textId="77777777" w:rsidR="00604849" w:rsidRDefault="00604849">
      <w:pPr>
        <w:ind w:left="540" w:hanging="540"/>
        <w:jc w:val="both"/>
        <w:rPr>
          <w:rFonts w:ascii="Arial" w:hAnsi="Arial" w:cs="Arial"/>
          <w:sz w:val="22"/>
          <w:szCs w:val="22"/>
        </w:rPr>
      </w:pPr>
      <w:r>
        <w:rPr>
          <w:rFonts w:ascii="Arial" w:hAnsi="Arial" w:cs="Arial"/>
          <w:sz w:val="22"/>
          <w:szCs w:val="22"/>
        </w:rPr>
        <w:t>1.7</w:t>
      </w:r>
      <w:r>
        <w:rPr>
          <w:rFonts w:ascii="Arial" w:hAnsi="Arial" w:cs="Arial"/>
          <w:sz w:val="22"/>
          <w:szCs w:val="22"/>
        </w:rPr>
        <w:tab/>
      </w:r>
      <w:r w:rsidRPr="00604849">
        <w:rPr>
          <w:rFonts w:ascii="Arial" w:hAnsi="Arial" w:cs="Arial"/>
          <w:b/>
          <w:sz w:val="22"/>
          <w:szCs w:val="22"/>
        </w:rPr>
        <w:t>“Impaired”</w:t>
      </w:r>
      <w:r>
        <w:rPr>
          <w:rFonts w:ascii="Arial" w:hAnsi="Arial" w:cs="Arial"/>
          <w:sz w:val="22"/>
          <w:szCs w:val="22"/>
        </w:rPr>
        <w:t xml:space="preserve"> means the carrying amount exceeds its recoverable amount</w:t>
      </w:r>
      <w:r w:rsidR="00871473">
        <w:rPr>
          <w:rFonts w:ascii="Arial" w:hAnsi="Arial" w:cs="Arial"/>
          <w:sz w:val="22"/>
          <w:szCs w:val="22"/>
        </w:rPr>
        <w:t>.</w:t>
      </w:r>
    </w:p>
    <w:p w14:paraId="4D6B0C16" w14:textId="77777777" w:rsidR="002B3999" w:rsidRDefault="002B3999">
      <w:pPr>
        <w:ind w:left="540" w:hanging="540"/>
        <w:jc w:val="both"/>
        <w:rPr>
          <w:rFonts w:ascii="Arial" w:hAnsi="Arial" w:cs="Arial"/>
          <w:sz w:val="22"/>
          <w:szCs w:val="22"/>
        </w:rPr>
      </w:pPr>
    </w:p>
    <w:p w14:paraId="1EBB9205" w14:textId="77777777" w:rsidR="002B3999" w:rsidRDefault="002B3999" w:rsidP="002B3999">
      <w:pPr>
        <w:ind w:left="540" w:hanging="540"/>
        <w:jc w:val="both"/>
        <w:rPr>
          <w:rFonts w:ascii="Arial" w:hAnsi="Arial" w:cs="Arial"/>
          <w:sz w:val="22"/>
          <w:szCs w:val="22"/>
        </w:rPr>
      </w:pPr>
      <w:r w:rsidRPr="00D72F1B">
        <w:rPr>
          <w:rFonts w:ascii="Arial" w:hAnsi="Arial" w:cs="Arial"/>
          <w:sz w:val="22"/>
          <w:szCs w:val="22"/>
        </w:rPr>
        <w:t>1.</w:t>
      </w:r>
      <w:r>
        <w:rPr>
          <w:rFonts w:ascii="Arial" w:hAnsi="Arial" w:cs="Arial"/>
          <w:sz w:val="22"/>
          <w:szCs w:val="22"/>
        </w:rPr>
        <w:t>8</w:t>
      </w:r>
      <w:r w:rsidRPr="00D72F1B">
        <w:rPr>
          <w:rFonts w:ascii="Arial" w:hAnsi="Arial" w:cs="Arial"/>
          <w:sz w:val="22"/>
          <w:szCs w:val="22"/>
        </w:rPr>
        <w:tab/>
      </w:r>
      <w:r>
        <w:rPr>
          <w:rFonts w:ascii="Arial" w:hAnsi="Arial" w:cs="Arial"/>
          <w:b/>
          <w:sz w:val="22"/>
          <w:szCs w:val="22"/>
        </w:rPr>
        <w:t>“MFMA</w:t>
      </w:r>
      <w:r w:rsidRPr="00D72F1B">
        <w:rPr>
          <w:rFonts w:ascii="Arial" w:hAnsi="Arial" w:cs="Arial"/>
          <w:b/>
          <w:sz w:val="22"/>
          <w:szCs w:val="22"/>
        </w:rPr>
        <w:t xml:space="preserve">” </w:t>
      </w:r>
      <w:r>
        <w:rPr>
          <w:rFonts w:ascii="Arial" w:hAnsi="Arial" w:cs="Arial"/>
          <w:sz w:val="22"/>
          <w:szCs w:val="22"/>
        </w:rPr>
        <w:t>means Municipal Finance Management Act 56 of 2003</w:t>
      </w:r>
      <w:r w:rsidR="00871473">
        <w:rPr>
          <w:rFonts w:ascii="Arial" w:hAnsi="Arial" w:cs="Arial"/>
          <w:sz w:val="22"/>
          <w:szCs w:val="22"/>
        </w:rPr>
        <w:t>.</w:t>
      </w:r>
    </w:p>
    <w:p w14:paraId="1CDD7E1E" w14:textId="77777777" w:rsidR="002B3999" w:rsidRPr="00D72F1B" w:rsidRDefault="00665EFB" w:rsidP="00665EFB">
      <w:pPr>
        <w:tabs>
          <w:tab w:val="left" w:pos="5460"/>
        </w:tabs>
        <w:ind w:left="540" w:hanging="540"/>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783C167E" w14:textId="77777777" w:rsidR="007D0125" w:rsidRPr="00D72F1B" w:rsidRDefault="007D0125">
      <w:pPr>
        <w:ind w:left="540" w:hanging="540"/>
        <w:jc w:val="both"/>
        <w:rPr>
          <w:rFonts w:ascii="Arial" w:eastAsia="Arial Unicode MS" w:hAnsi="Arial" w:cs="Arial"/>
          <w:sz w:val="22"/>
          <w:szCs w:val="22"/>
        </w:rPr>
      </w:pPr>
      <w:r w:rsidRPr="00D72F1B">
        <w:rPr>
          <w:rFonts w:ascii="Arial" w:hAnsi="Arial" w:cs="Arial"/>
          <w:sz w:val="22"/>
          <w:szCs w:val="22"/>
        </w:rPr>
        <w:t>1.</w:t>
      </w:r>
      <w:r w:rsidR="002B3999">
        <w:rPr>
          <w:rFonts w:ascii="Arial" w:hAnsi="Arial" w:cs="Arial"/>
          <w:sz w:val="22"/>
          <w:szCs w:val="22"/>
        </w:rPr>
        <w:t>9</w:t>
      </w:r>
      <w:r w:rsidRPr="00D72F1B">
        <w:rPr>
          <w:rFonts w:ascii="Arial" w:hAnsi="Arial" w:cs="Arial"/>
          <w:sz w:val="22"/>
          <w:szCs w:val="22"/>
        </w:rPr>
        <w:tab/>
      </w:r>
      <w:r w:rsidRPr="00D72F1B">
        <w:rPr>
          <w:rFonts w:ascii="Arial" w:hAnsi="Arial" w:cs="Arial"/>
          <w:b/>
          <w:sz w:val="22"/>
          <w:szCs w:val="22"/>
        </w:rPr>
        <w:t xml:space="preserve">“Municipality” </w:t>
      </w:r>
      <w:r w:rsidRPr="00D72F1B">
        <w:rPr>
          <w:rFonts w:ascii="Arial" w:hAnsi="Arial" w:cs="Arial"/>
          <w:sz w:val="22"/>
          <w:szCs w:val="22"/>
        </w:rPr>
        <w:t>when referred to as:</w:t>
      </w:r>
    </w:p>
    <w:p w14:paraId="3437D88F" w14:textId="77777777" w:rsidR="007D0125" w:rsidRPr="00D72F1B" w:rsidRDefault="007D0125">
      <w:pPr>
        <w:ind w:left="2520" w:hanging="2340"/>
        <w:jc w:val="both"/>
        <w:rPr>
          <w:rFonts w:ascii="Arial" w:eastAsia="Arial Unicode MS" w:hAnsi="Arial" w:cs="Arial"/>
          <w:sz w:val="22"/>
          <w:szCs w:val="22"/>
        </w:rPr>
      </w:pPr>
    </w:p>
    <w:p w14:paraId="5D7BB84B" w14:textId="77777777" w:rsidR="007D0125" w:rsidRPr="00D72F1B" w:rsidRDefault="007D0125" w:rsidP="005D496E">
      <w:pPr>
        <w:numPr>
          <w:ilvl w:val="0"/>
          <w:numId w:val="4"/>
        </w:numPr>
        <w:jc w:val="both"/>
        <w:rPr>
          <w:rFonts w:ascii="Arial" w:eastAsia="Arial Unicode MS" w:hAnsi="Arial" w:cs="Arial"/>
          <w:sz w:val="22"/>
          <w:szCs w:val="22"/>
        </w:rPr>
      </w:pPr>
      <w:r w:rsidRPr="00D72F1B">
        <w:rPr>
          <w:rFonts w:ascii="Arial" w:eastAsia="Arial Unicode MS" w:hAnsi="Arial" w:cs="Arial"/>
          <w:sz w:val="22"/>
          <w:szCs w:val="22"/>
        </w:rPr>
        <w:t>a corporate body, means a municipality as described in Section 2 of the Municipal Systems</w:t>
      </w:r>
      <w:r w:rsidR="00871473">
        <w:rPr>
          <w:rFonts w:ascii="Arial" w:eastAsia="Arial Unicode MS" w:hAnsi="Arial" w:cs="Arial"/>
          <w:sz w:val="22"/>
          <w:szCs w:val="22"/>
        </w:rPr>
        <w:t xml:space="preserve"> Act, 2000 (Act No. 32 of 2000).</w:t>
      </w:r>
    </w:p>
    <w:p w14:paraId="6E5A06FC" w14:textId="77777777" w:rsidR="007D0125" w:rsidRPr="00D72F1B" w:rsidRDefault="007D0125" w:rsidP="005D496E">
      <w:pPr>
        <w:numPr>
          <w:ilvl w:val="0"/>
          <w:numId w:val="4"/>
        </w:numPr>
        <w:jc w:val="both"/>
        <w:rPr>
          <w:rFonts w:ascii="Arial" w:eastAsia="Arial Unicode MS" w:hAnsi="Arial" w:cs="Arial"/>
          <w:sz w:val="22"/>
          <w:szCs w:val="22"/>
        </w:rPr>
      </w:pPr>
      <w:r w:rsidRPr="00D72F1B">
        <w:rPr>
          <w:rFonts w:ascii="Arial" w:eastAsia="Arial Unicode MS" w:hAnsi="Arial" w:cs="Arial"/>
          <w:sz w:val="22"/>
          <w:szCs w:val="22"/>
        </w:rPr>
        <w:t xml:space="preserve">a geographic </w:t>
      </w:r>
      <w:r w:rsidR="00941974" w:rsidRPr="00D72F1B">
        <w:rPr>
          <w:rFonts w:ascii="Arial" w:eastAsia="Arial Unicode MS" w:hAnsi="Arial" w:cs="Arial"/>
          <w:sz w:val="22"/>
          <w:szCs w:val="22"/>
        </w:rPr>
        <w:t>area</w:t>
      </w:r>
      <w:r w:rsidRPr="00D72F1B">
        <w:rPr>
          <w:rFonts w:ascii="Arial" w:eastAsia="Arial Unicode MS" w:hAnsi="Arial" w:cs="Arial"/>
          <w:sz w:val="22"/>
          <w:szCs w:val="22"/>
        </w:rPr>
        <w:t xml:space="preserve"> means a municipal area determined in terms of the Local Government Municipal Demarcation Act, 1998 (Act No. 27 of 1998).</w:t>
      </w:r>
    </w:p>
    <w:p w14:paraId="0ECAE76A" w14:textId="77777777" w:rsidR="007D0125" w:rsidRPr="00D72F1B" w:rsidRDefault="007D0125">
      <w:pPr>
        <w:ind w:left="2520" w:hanging="2340"/>
        <w:jc w:val="both"/>
        <w:rPr>
          <w:rFonts w:ascii="Arial" w:eastAsia="Arial Unicode MS" w:hAnsi="Arial" w:cs="Arial"/>
          <w:sz w:val="22"/>
          <w:szCs w:val="22"/>
        </w:rPr>
      </w:pPr>
    </w:p>
    <w:p w14:paraId="191C7659" w14:textId="77777777" w:rsidR="004C070A" w:rsidRDefault="007D0125" w:rsidP="00BC10E3">
      <w:pPr>
        <w:ind w:left="540" w:hanging="540"/>
        <w:jc w:val="both"/>
        <w:rPr>
          <w:rFonts w:ascii="Arial" w:hAnsi="Arial" w:cs="Arial"/>
          <w:sz w:val="22"/>
          <w:szCs w:val="22"/>
        </w:rPr>
      </w:pPr>
      <w:r w:rsidRPr="00D72F1B">
        <w:rPr>
          <w:rFonts w:ascii="Arial" w:hAnsi="Arial" w:cs="Arial"/>
          <w:sz w:val="22"/>
          <w:szCs w:val="22"/>
        </w:rPr>
        <w:t>1.</w:t>
      </w:r>
      <w:r w:rsidR="002B3999">
        <w:rPr>
          <w:rFonts w:ascii="Arial" w:hAnsi="Arial" w:cs="Arial"/>
          <w:sz w:val="22"/>
          <w:szCs w:val="22"/>
        </w:rPr>
        <w:t>10</w:t>
      </w:r>
      <w:r w:rsidRPr="00D72F1B">
        <w:rPr>
          <w:rFonts w:ascii="Arial" w:hAnsi="Arial" w:cs="Arial"/>
          <w:sz w:val="22"/>
          <w:szCs w:val="22"/>
        </w:rPr>
        <w:tab/>
      </w:r>
      <w:r w:rsidR="0010586B" w:rsidRPr="00D72F1B">
        <w:rPr>
          <w:rFonts w:ascii="Arial" w:hAnsi="Arial" w:cs="Arial"/>
          <w:b/>
          <w:sz w:val="22"/>
          <w:szCs w:val="22"/>
        </w:rPr>
        <w:t>“Municipal</w:t>
      </w:r>
      <w:r w:rsidRPr="00D72F1B">
        <w:rPr>
          <w:rFonts w:ascii="Arial" w:hAnsi="Arial" w:cs="Arial"/>
          <w:b/>
          <w:sz w:val="22"/>
          <w:szCs w:val="22"/>
        </w:rPr>
        <w:t xml:space="preserve"> Manager” </w:t>
      </w:r>
      <w:r w:rsidRPr="00D72F1B">
        <w:rPr>
          <w:rFonts w:ascii="Arial" w:hAnsi="Arial" w:cs="Arial"/>
          <w:sz w:val="22"/>
          <w:szCs w:val="22"/>
        </w:rPr>
        <w:t>means the person appointed as Municipal Manager in terms of Section 82 of the Local Government Municipal Structures Act, 1998, (Act No. 117 of 1998) and includes any person acting in that position or to wh</w:t>
      </w:r>
      <w:r w:rsidR="00871473">
        <w:rPr>
          <w:rFonts w:ascii="Arial" w:hAnsi="Arial" w:cs="Arial"/>
          <w:sz w:val="22"/>
          <w:szCs w:val="22"/>
        </w:rPr>
        <w:t>om authority has been delegated.</w:t>
      </w:r>
    </w:p>
    <w:p w14:paraId="73F4E795" w14:textId="77777777" w:rsidR="00604849" w:rsidRDefault="00604849" w:rsidP="00BC10E3">
      <w:pPr>
        <w:ind w:left="540" w:hanging="540"/>
        <w:jc w:val="both"/>
        <w:rPr>
          <w:rFonts w:ascii="Arial" w:hAnsi="Arial" w:cs="Arial"/>
          <w:sz w:val="22"/>
          <w:szCs w:val="22"/>
        </w:rPr>
      </w:pPr>
    </w:p>
    <w:p w14:paraId="15652243" w14:textId="77777777" w:rsidR="00604849" w:rsidRDefault="00604849" w:rsidP="00604849">
      <w:pPr>
        <w:ind w:left="540" w:hanging="540"/>
        <w:jc w:val="both"/>
        <w:rPr>
          <w:rFonts w:ascii="Arial" w:eastAsia="Arial Unicode MS" w:hAnsi="Arial" w:cs="Arial"/>
          <w:sz w:val="22"/>
          <w:szCs w:val="22"/>
        </w:rPr>
      </w:pPr>
      <w:r>
        <w:rPr>
          <w:rFonts w:ascii="Arial" w:eastAsia="Arial Unicode MS" w:hAnsi="Arial" w:cs="Arial"/>
          <w:sz w:val="22"/>
          <w:szCs w:val="22"/>
        </w:rPr>
        <w:t>1.11</w:t>
      </w:r>
      <w:r>
        <w:rPr>
          <w:rFonts w:ascii="Arial" w:eastAsia="Arial Unicode MS" w:hAnsi="Arial" w:cs="Arial"/>
          <w:sz w:val="22"/>
          <w:szCs w:val="22"/>
        </w:rPr>
        <w:tab/>
      </w:r>
      <w:r>
        <w:rPr>
          <w:rFonts w:ascii="Arial" w:hAnsi="Arial" w:cs="Arial"/>
          <w:b/>
          <w:sz w:val="22"/>
          <w:szCs w:val="22"/>
        </w:rPr>
        <w:t>“Receivable</w:t>
      </w:r>
      <w:r w:rsidRPr="00D72F1B">
        <w:rPr>
          <w:rFonts w:ascii="Arial" w:hAnsi="Arial" w:cs="Arial"/>
          <w:b/>
          <w:sz w:val="22"/>
          <w:szCs w:val="22"/>
        </w:rPr>
        <w:t>”</w:t>
      </w:r>
      <w:r w:rsidRPr="00D72F1B">
        <w:rPr>
          <w:rFonts w:ascii="Arial" w:eastAsia="Arial Unicode MS" w:hAnsi="Arial" w:cs="Arial"/>
          <w:b/>
          <w:sz w:val="22"/>
          <w:szCs w:val="22"/>
        </w:rPr>
        <w:t xml:space="preserve"> </w:t>
      </w:r>
      <w:r w:rsidRPr="00D72F1B">
        <w:rPr>
          <w:rFonts w:ascii="Arial" w:eastAsia="Arial Unicode MS" w:hAnsi="Arial" w:cs="Arial"/>
          <w:sz w:val="22"/>
          <w:szCs w:val="22"/>
        </w:rPr>
        <w:t>means any amount due, owing and payable by a customer in respect of a municipal a</w:t>
      </w:r>
      <w:r w:rsidR="00871473">
        <w:rPr>
          <w:rFonts w:ascii="Arial" w:eastAsia="Arial Unicode MS" w:hAnsi="Arial" w:cs="Arial"/>
          <w:sz w:val="22"/>
          <w:szCs w:val="22"/>
        </w:rPr>
        <w:t>ccount not paid on the due date.</w:t>
      </w:r>
      <w:r w:rsidRPr="00D72F1B">
        <w:rPr>
          <w:rFonts w:ascii="Arial" w:eastAsia="Arial Unicode MS" w:hAnsi="Arial" w:cs="Arial"/>
          <w:sz w:val="22"/>
          <w:szCs w:val="22"/>
        </w:rPr>
        <w:t xml:space="preserve"> </w:t>
      </w:r>
    </w:p>
    <w:p w14:paraId="63E023CD" w14:textId="77777777" w:rsidR="008A151C" w:rsidRDefault="008A151C" w:rsidP="00604849">
      <w:pPr>
        <w:ind w:left="540" w:hanging="540"/>
        <w:jc w:val="both"/>
        <w:rPr>
          <w:rFonts w:ascii="Arial" w:eastAsia="Arial Unicode MS" w:hAnsi="Arial" w:cs="Arial"/>
          <w:sz w:val="22"/>
          <w:szCs w:val="22"/>
        </w:rPr>
      </w:pPr>
    </w:p>
    <w:p w14:paraId="28CA69E8" w14:textId="77777777" w:rsidR="008A151C" w:rsidRPr="00D72F1B" w:rsidRDefault="008A151C" w:rsidP="00604849">
      <w:pPr>
        <w:ind w:left="540" w:hanging="540"/>
        <w:jc w:val="both"/>
        <w:rPr>
          <w:rFonts w:ascii="Arial" w:eastAsia="Arial Unicode MS" w:hAnsi="Arial" w:cs="Arial"/>
          <w:sz w:val="22"/>
          <w:szCs w:val="22"/>
        </w:rPr>
      </w:pPr>
      <w:r>
        <w:rPr>
          <w:rFonts w:ascii="Arial" w:eastAsia="Arial Unicode MS" w:hAnsi="Arial" w:cs="Arial"/>
          <w:sz w:val="22"/>
          <w:szCs w:val="22"/>
        </w:rPr>
        <w:t>1.12</w:t>
      </w:r>
      <w:bookmarkStart w:id="3" w:name="OLE_LINK1"/>
      <w:r>
        <w:rPr>
          <w:rFonts w:ascii="Arial" w:eastAsia="Arial Unicode MS" w:hAnsi="Arial" w:cs="Arial"/>
          <w:sz w:val="22"/>
          <w:szCs w:val="22"/>
        </w:rPr>
        <w:tab/>
      </w:r>
      <w:r w:rsidRPr="008A151C">
        <w:rPr>
          <w:rFonts w:ascii="Arial" w:eastAsia="Arial Unicode MS" w:hAnsi="Arial" w:cs="Arial"/>
          <w:b/>
          <w:sz w:val="22"/>
          <w:szCs w:val="22"/>
        </w:rPr>
        <w:t>“Reporting date”</w:t>
      </w:r>
      <w:r>
        <w:rPr>
          <w:rFonts w:ascii="Arial" w:eastAsia="Arial Unicode MS" w:hAnsi="Arial" w:cs="Arial"/>
          <w:sz w:val="22"/>
          <w:szCs w:val="22"/>
        </w:rPr>
        <w:t xml:space="preserve"> means 30 June of each year</w:t>
      </w:r>
      <w:r w:rsidR="00871473">
        <w:rPr>
          <w:rFonts w:ascii="Arial" w:eastAsia="Arial Unicode MS" w:hAnsi="Arial" w:cs="Arial"/>
          <w:sz w:val="22"/>
          <w:szCs w:val="22"/>
        </w:rPr>
        <w:t>.</w:t>
      </w:r>
    </w:p>
    <w:bookmarkEnd w:id="3"/>
    <w:p w14:paraId="784DBB79" w14:textId="77777777" w:rsidR="00665EFB" w:rsidRDefault="00665EFB">
      <w:pPr>
        <w:rPr>
          <w:rFonts w:ascii="Arial" w:eastAsia="Arial Unicode MS" w:hAnsi="Arial" w:cs="Arial"/>
          <w:b/>
          <w:bCs/>
          <w:sz w:val="22"/>
          <w:szCs w:val="22"/>
        </w:rPr>
      </w:pPr>
      <w:r>
        <w:rPr>
          <w:rFonts w:ascii="Arial" w:eastAsia="Arial Unicode MS" w:hAnsi="Arial" w:cs="Arial"/>
          <w:b/>
          <w:bCs/>
          <w:sz w:val="22"/>
          <w:szCs w:val="22"/>
        </w:rPr>
        <w:br w:type="page"/>
      </w:r>
    </w:p>
    <w:p w14:paraId="591E1B20" w14:textId="77777777" w:rsidR="00DA14E3" w:rsidRDefault="00DA14E3" w:rsidP="00837825">
      <w:pPr>
        <w:pStyle w:val="Heading1"/>
      </w:pPr>
      <w:bookmarkStart w:id="4" w:name="_Toc17119783"/>
      <w:bookmarkStart w:id="5" w:name="_Toc17120054"/>
      <w:r w:rsidRPr="00DD5EBF">
        <w:lastRenderedPageBreak/>
        <w:t>PURPOSE OF THE POLICY</w:t>
      </w:r>
      <w:bookmarkEnd w:id="4"/>
      <w:bookmarkEnd w:id="5"/>
    </w:p>
    <w:p w14:paraId="7303725D" w14:textId="77777777" w:rsidR="00DA14E3" w:rsidRPr="00E839B1" w:rsidRDefault="00DA14E3" w:rsidP="00DA14E3">
      <w:pPr>
        <w:tabs>
          <w:tab w:val="left" w:pos="540"/>
        </w:tabs>
        <w:jc w:val="both"/>
        <w:rPr>
          <w:rFonts w:ascii="Arial" w:eastAsia="Arial Unicode MS" w:hAnsi="Arial" w:cs="Arial"/>
          <w:sz w:val="22"/>
          <w:szCs w:val="22"/>
        </w:rPr>
      </w:pPr>
    </w:p>
    <w:p w14:paraId="66474E85" w14:textId="77777777" w:rsidR="002B3999" w:rsidRDefault="00E71E85" w:rsidP="00837825">
      <w:pPr>
        <w:tabs>
          <w:tab w:val="left" w:pos="567"/>
        </w:tabs>
        <w:ind w:left="567" w:hanging="567"/>
        <w:jc w:val="both"/>
        <w:rPr>
          <w:rFonts w:ascii="Arial" w:eastAsia="Arial Unicode MS" w:hAnsi="Arial" w:cs="Arial"/>
          <w:sz w:val="22"/>
          <w:szCs w:val="22"/>
        </w:rPr>
      </w:pPr>
      <w:r>
        <w:rPr>
          <w:rFonts w:ascii="Arial" w:eastAsia="Arial Unicode MS" w:hAnsi="Arial" w:cs="Arial"/>
          <w:sz w:val="22"/>
          <w:szCs w:val="22"/>
        </w:rPr>
        <w:t>2</w:t>
      </w:r>
      <w:r w:rsidR="00EA0A30" w:rsidRPr="00E839B1">
        <w:rPr>
          <w:rFonts w:ascii="Arial" w:eastAsia="Arial Unicode MS" w:hAnsi="Arial" w:cs="Arial"/>
          <w:sz w:val="22"/>
          <w:szCs w:val="22"/>
        </w:rPr>
        <w:t>.1</w:t>
      </w:r>
      <w:r w:rsidR="00EA0A30" w:rsidRPr="00E839B1">
        <w:rPr>
          <w:rFonts w:ascii="Arial" w:eastAsia="Arial Unicode MS" w:hAnsi="Arial" w:cs="Arial"/>
          <w:sz w:val="22"/>
          <w:szCs w:val="22"/>
        </w:rPr>
        <w:tab/>
      </w:r>
      <w:r w:rsidR="00BC10E3" w:rsidRPr="00E839B1">
        <w:rPr>
          <w:rFonts w:ascii="Arial" w:eastAsia="Arial Unicode MS" w:hAnsi="Arial" w:cs="Arial"/>
          <w:sz w:val="22"/>
          <w:szCs w:val="22"/>
        </w:rPr>
        <w:t xml:space="preserve">The purpose of this policy is to provide a framework for </w:t>
      </w:r>
      <w:r w:rsidR="002B3999" w:rsidRPr="002B3999">
        <w:rPr>
          <w:rFonts w:ascii="Arial" w:eastAsia="Arial Unicode MS" w:hAnsi="Arial" w:cs="Arial"/>
          <w:sz w:val="22"/>
          <w:szCs w:val="22"/>
        </w:rPr>
        <w:t xml:space="preserve">methodology for the impairment of </w:t>
      </w:r>
      <w:r w:rsidR="00833305">
        <w:rPr>
          <w:rFonts w:ascii="Arial" w:eastAsia="Arial Unicode MS" w:hAnsi="Arial" w:cs="Arial"/>
          <w:sz w:val="22"/>
          <w:szCs w:val="22"/>
        </w:rPr>
        <w:t xml:space="preserve">receivables in line with </w:t>
      </w:r>
      <w:r w:rsidR="002B3999" w:rsidRPr="002B3999">
        <w:rPr>
          <w:rFonts w:ascii="Arial" w:eastAsia="Arial Unicode MS" w:hAnsi="Arial" w:cs="Arial"/>
          <w:sz w:val="22"/>
          <w:szCs w:val="22"/>
        </w:rPr>
        <w:t>applicable accounting standards;</w:t>
      </w:r>
    </w:p>
    <w:p w14:paraId="589C4484" w14:textId="77777777" w:rsidR="002B3999" w:rsidRDefault="002B3999" w:rsidP="00E71E85">
      <w:pPr>
        <w:tabs>
          <w:tab w:val="left" w:pos="851"/>
        </w:tabs>
        <w:ind w:left="851" w:hanging="851"/>
        <w:jc w:val="both"/>
        <w:rPr>
          <w:rFonts w:ascii="Arial" w:eastAsia="Arial Unicode MS" w:hAnsi="Arial" w:cs="Arial"/>
          <w:sz w:val="22"/>
          <w:szCs w:val="22"/>
        </w:rPr>
      </w:pPr>
    </w:p>
    <w:p w14:paraId="7DFD73FC" w14:textId="77777777" w:rsidR="002B3999" w:rsidRDefault="00E71E85" w:rsidP="00837825">
      <w:pPr>
        <w:tabs>
          <w:tab w:val="left" w:pos="567"/>
        </w:tabs>
        <w:ind w:left="567" w:hanging="567"/>
        <w:jc w:val="both"/>
        <w:rPr>
          <w:rFonts w:ascii="Arial" w:eastAsia="Arial Unicode MS" w:hAnsi="Arial" w:cs="Arial"/>
          <w:sz w:val="22"/>
          <w:szCs w:val="22"/>
        </w:rPr>
      </w:pPr>
      <w:r>
        <w:rPr>
          <w:rFonts w:ascii="Arial" w:eastAsia="Arial Unicode MS" w:hAnsi="Arial" w:cs="Arial"/>
          <w:sz w:val="22"/>
          <w:szCs w:val="22"/>
        </w:rPr>
        <w:t>2</w:t>
      </w:r>
      <w:r w:rsidR="002B3999">
        <w:rPr>
          <w:rFonts w:ascii="Arial" w:eastAsia="Arial Unicode MS" w:hAnsi="Arial" w:cs="Arial"/>
          <w:sz w:val="22"/>
          <w:szCs w:val="22"/>
        </w:rPr>
        <w:t>.2</w:t>
      </w:r>
      <w:r w:rsidR="002B3999">
        <w:rPr>
          <w:rFonts w:ascii="Arial" w:eastAsia="Arial Unicode MS" w:hAnsi="Arial" w:cs="Arial"/>
          <w:sz w:val="22"/>
          <w:szCs w:val="22"/>
        </w:rPr>
        <w:tab/>
      </w:r>
      <w:r w:rsidR="002B3999" w:rsidRPr="002B3999">
        <w:rPr>
          <w:rFonts w:ascii="Arial" w:eastAsia="Arial Unicode MS" w:hAnsi="Arial" w:cs="Arial"/>
          <w:sz w:val="22"/>
          <w:szCs w:val="22"/>
        </w:rPr>
        <w:t>To ensure that sufficient allowance is made for the impairment of receivables in the financial statements;</w:t>
      </w:r>
    </w:p>
    <w:p w14:paraId="7F578A4C" w14:textId="77777777" w:rsidR="00E71E85" w:rsidRDefault="00E71E85" w:rsidP="00E71E85">
      <w:pPr>
        <w:tabs>
          <w:tab w:val="left" w:pos="851"/>
        </w:tabs>
        <w:ind w:left="851" w:hanging="851"/>
        <w:jc w:val="both"/>
        <w:rPr>
          <w:rFonts w:ascii="Arial" w:eastAsia="Arial Unicode MS" w:hAnsi="Arial" w:cs="Arial"/>
          <w:sz w:val="22"/>
          <w:szCs w:val="22"/>
        </w:rPr>
      </w:pPr>
    </w:p>
    <w:p w14:paraId="5C617A45" w14:textId="77777777" w:rsidR="00E71E85" w:rsidRDefault="00E71E85" w:rsidP="00837825">
      <w:pPr>
        <w:tabs>
          <w:tab w:val="left" w:pos="567"/>
        </w:tabs>
        <w:ind w:left="567" w:hanging="567"/>
        <w:jc w:val="both"/>
        <w:rPr>
          <w:rFonts w:ascii="Arial" w:eastAsia="Arial Unicode MS" w:hAnsi="Arial" w:cs="Arial"/>
          <w:sz w:val="22"/>
          <w:szCs w:val="22"/>
        </w:rPr>
      </w:pPr>
      <w:r>
        <w:rPr>
          <w:rFonts w:ascii="Arial" w:eastAsia="Arial Unicode MS" w:hAnsi="Arial" w:cs="Arial"/>
          <w:sz w:val="22"/>
          <w:szCs w:val="22"/>
        </w:rPr>
        <w:t>2.3</w:t>
      </w:r>
      <w:r>
        <w:rPr>
          <w:rFonts w:ascii="Arial" w:eastAsia="Arial Unicode MS" w:hAnsi="Arial" w:cs="Arial"/>
          <w:sz w:val="22"/>
          <w:szCs w:val="22"/>
        </w:rPr>
        <w:tab/>
        <w:t>To e</w:t>
      </w:r>
      <w:r w:rsidRPr="00E71E85">
        <w:rPr>
          <w:rFonts w:ascii="Arial" w:eastAsia="Arial Unicode MS" w:hAnsi="Arial" w:cs="Arial"/>
          <w:sz w:val="22"/>
          <w:szCs w:val="22"/>
        </w:rPr>
        <w:t>nsure that receivables disclosed in the financial statements are stated at amounts that are deemed collectable; and</w:t>
      </w:r>
    </w:p>
    <w:p w14:paraId="229CA23A" w14:textId="77777777" w:rsidR="00E71E85" w:rsidRDefault="00E71E85" w:rsidP="00E71E85">
      <w:pPr>
        <w:tabs>
          <w:tab w:val="left" w:pos="851"/>
        </w:tabs>
        <w:ind w:left="851" w:hanging="851"/>
        <w:jc w:val="both"/>
        <w:rPr>
          <w:rFonts w:ascii="Arial" w:eastAsia="Arial Unicode MS" w:hAnsi="Arial" w:cs="Arial"/>
          <w:sz w:val="22"/>
          <w:szCs w:val="22"/>
        </w:rPr>
      </w:pPr>
    </w:p>
    <w:p w14:paraId="6E0859E4" w14:textId="6F225043" w:rsidR="00E71E85" w:rsidRDefault="00E71E85" w:rsidP="00837825">
      <w:pPr>
        <w:tabs>
          <w:tab w:val="left" w:pos="567"/>
        </w:tabs>
        <w:ind w:left="567" w:hanging="567"/>
        <w:jc w:val="both"/>
        <w:rPr>
          <w:rFonts w:ascii="Arial" w:eastAsia="Arial Unicode MS" w:hAnsi="Arial" w:cs="Arial"/>
          <w:sz w:val="22"/>
          <w:szCs w:val="22"/>
        </w:rPr>
      </w:pPr>
      <w:r>
        <w:rPr>
          <w:rFonts w:ascii="Arial" w:eastAsia="Arial Unicode MS" w:hAnsi="Arial" w:cs="Arial"/>
          <w:sz w:val="22"/>
          <w:szCs w:val="22"/>
        </w:rPr>
        <w:t>2.4</w:t>
      </w:r>
      <w:r>
        <w:rPr>
          <w:rFonts w:ascii="Arial" w:eastAsia="Arial Unicode MS" w:hAnsi="Arial" w:cs="Arial"/>
          <w:sz w:val="22"/>
          <w:szCs w:val="22"/>
        </w:rPr>
        <w:tab/>
      </w:r>
      <w:r w:rsidRPr="00E71E85">
        <w:rPr>
          <w:rFonts w:ascii="Arial" w:eastAsia="Arial Unicode MS" w:hAnsi="Arial" w:cs="Arial"/>
          <w:sz w:val="22"/>
          <w:szCs w:val="22"/>
        </w:rPr>
        <w:t>To promote transparency as required by sections 215 and 216 of the Constitution when dealing with receivables and debt.</w:t>
      </w:r>
    </w:p>
    <w:p w14:paraId="126E0172" w14:textId="77777777" w:rsidR="004A1FF2" w:rsidRDefault="004A1FF2" w:rsidP="00837825">
      <w:pPr>
        <w:tabs>
          <w:tab w:val="left" w:pos="567"/>
        </w:tabs>
        <w:ind w:left="567" w:hanging="567"/>
        <w:jc w:val="both"/>
        <w:rPr>
          <w:rFonts w:ascii="Arial" w:eastAsia="Arial Unicode MS" w:hAnsi="Arial" w:cs="Arial"/>
          <w:sz w:val="22"/>
          <w:szCs w:val="22"/>
        </w:rPr>
      </w:pPr>
    </w:p>
    <w:p w14:paraId="7AFF8144" w14:textId="24FD0454" w:rsidR="004A1FF2" w:rsidRDefault="004A1FF2" w:rsidP="00837825">
      <w:pPr>
        <w:tabs>
          <w:tab w:val="left" w:pos="567"/>
        </w:tabs>
        <w:ind w:left="567" w:hanging="567"/>
        <w:jc w:val="both"/>
        <w:rPr>
          <w:rFonts w:ascii="Arial" w:eastAsia="Arial Unicode MS" w:hAnsi="Arial" w:cs="Arial"/>
          <w:sz w:val="22"/>
          <w:szCs w:val="22"/>
        </w:rPr>
      </w:pPr>
      <w:r>
        <w:rPr>
          <w:rFonts w:ascii="Arial" w:eastAsia="Arial Unicode MS" w:hAnsi="Arial" w:cs="Arial"/>
          <w:sz w:val="22"/>
          <w:szCs w:val="22"/>
        </w:rPr>
        <w:t xml:space="preserve">2.5   This policy must be supported by Standard Operating Procedures on Impairment, which must be reviewed </w:t>
      </w:r>
      <w:r w:rsidR="00CC596A">
        <w:rPr>
          <w:rFonts w:ascii="Arial" w:eastAsia="Arial Unicode MS" w:hAnsi="Arial" w:cs="Arial"/>
          <w:sz w:val="22"/>
          <w:szCs w:val="22"/>
        </w:rPr>
        <w:t>at least annually by management.</w:t>
      </w:r>
    </w:p>
    <w:p w14:paraId="516D8354" w14:textId="77777777" w:rsidR="002B3999" w:rsidRDefault="002B3999" w:rsidP="00E71E85">
      <w:pPr>
        <w:pStyle w:val="BodyText"/>
        <w:tabs>
          <w:tab w:val="left" w:pos="851"/>
        </w:tabs>
        <w:ind w:left="851" w:hanging="851"/>
      </w:pPr>
    </w:p>
    <w:p w14:paraId="7153FEF6" w14:textId="77777777" w:rsidR="00DA14E3" w:rsidRPr="00E839B1" w:rsidRDefault="00DA14E3" w:rsidP="00C82692">
      <w:pPr>
        <w:tabs>
          <w:tab w:val="left" w:pos="540"/>
        </w:tabs>
        <w:jc w:val="both"/>
        <w:rPr>
          <w:rFonts w:ascii="Arial" w:eastAsia="Arial Unicode MS" w:hAnsi="Arial" w:cs="Arial"/>
          <w:b/>
          <w:bCs/>
          <w:sz w:val="22"/>
          <w:szCs w:val="22"/>
        </w:rPr>
      </w:pPr>
    </w:p>
    <w:p w14:paraId="3E690E37" w14:textId="77777777" w:rsidR="00DA14E3" w:rsidRPr="00257B46" w:rsidRDefault="00E71E85" w:rsidP="00833305">
      <w:pPr>
        <w:pStyle w:val="Heading1"/>
      </w:pPr>
      <w:bookmarkStart w:id="6" w:name="_Toc17119784"/>
      <w:bookmarkStart w:id="7" w:name="_Toc17120055"/>
      <w:r>
        <w:t>SCOPE OF POLICY</w:t>
      </w:r>
      <w:bookmarkEnd w:id="6"/>
      <w:bookmarkEnd w:id="7"/>
      <w:r>
        <w:t xml:space="preserve"> </w:t>
      </w:r>
    </w:p>
    <w:p w14:paraId="5F532EB8" w14:textId="77777777" w:rsidR="00DA14E3" w:rsidRPr="00DD5EBF" w:rsidRDefault="00DA14E3" w:rsidP="00DA14E3">
      <w:pPr>
        <w:tabs>
          <w:tab w:val="left" w:pos="540"/>
        </w:tabs>
        <w:jc w:val="both"/>
        <w:rPr>
          <w:rFonts w:ascii="Arial" w:eastAsia="Arial Unicode MS" w:hAnsi="Arial" w:cs="Arial"/>
          <w:sz w:val="22"/>
          <w:szCs w:val="22"/>
        </w:rPr>
      </w:pPr>
    </w:p>
    <w:p w14:paraId="15342169" w14:textId="77777777" w:rsidR="00E71E85" w:rsidRDefault="00AB18E8" w:rsidP="00833305">
      <w:pPr>
        <w:tabs>
          <w:tab w:val="left" w:pos="567"/>
        </w:tabs>
        <w:ind w:left="567" w:hanging="567"/>
        <w:jc w:val="both"/>
        <w:rPr>
          <w:rFonts w:ascii="Arial" w:eastAsia="Arial Unicode MS" w:hAnsi="Arial" w:cs="Arial"/>
          <w:sz w:val="22"/>
          <w:szCs w:val="22"/>
        </w:rPr>
      </w:pPr>
      <w:r>
        <w:rPr>
          <w:rFonts w:ascii="Arial" w:eastAsia="Arial Unicode MS" w:hAnsi="Arial" w:cs="Arial"/>
          <w:sz w:val="22"/>
          <w:szCs w:val="22"/>
        </w:rPr>
        <w:t>3</w:t>
      </w:r>
      <w:r w:rsidR="00DD5EBF" w:rsidRPr="00E839B1">
        <w:rPr>
          <w:rFonts w:ascii="Arial" w:eastAsia="Arial Unicode MS" w:hAnsi="Arial" w:cs="Arial"/>
          <w:sz w:val="22"/>
          <w:szCs w:val="22"/>
        </w:rPr>
        <w:t xml:space="preserve">.1 </w:t>
      </w:r>
      <w:r w:rsidR="00273F1E">
        <w:rPr>
          <w:rFonts w:ascii="Arial" w:eastAsia="Arial Unicode MS" w:hAnsi="Arial" w:cs="Arial"/>
          <w:sz w:val="22"/>
          <w:szCs w:val="22"/>
        </w:rPr>
        <w:tab/>
      </w:r>
      <w:r w:rsidR="00E71E85" w:rsidRPr="00E71E85">
        <w:rPr>
          <w:rFonts w:ascii="Arial" w:eastAsia="Arial Unicode MS" w:hAnsi="Arial" w:cs="Arial"/>
          <w:sz w:val="22"/>
          <w:szCs w:val="22"/>
        </w:rPr>
        <w:t xml:space="preserve">The methodology is applicable to all receivables subsequently measured at </w:t>
      </w:r>
      <w:r w:rsidR="00604849" w:rsidRPr="00E71E85">
        <w:rPr>
          <w:rFonts w:ascii="Arial" w:eastAsia="Arial Unicode MS" w:hAnsi="Arial" w:cs="Arial"/>
          <w:sz w:val="22"/>
          <w:szCs w:val="22"/>
        </w:rPr>
        <w:t>amortized</w:t>
      </w:r>
      <w:r w:rsidR="00E71E85" w:rsidRPr="00E71E85">
        <w:rPr>
          <w:rFonts w:ascii="Arial" w:eastAsia="Arial Unicode MS" w:hAnsi="Arial" w:cs="Arial"/>
          <w:sz w:val="22"/>
          <w:szCs w:val="22"/>
        </w:rPr>
        <w:t xml:space="preserve"> cost.</w:t>
      </w:r>
      <w:r w:rsidR="00E71E85">
        <w:rPr>
          <w:rFonts w:ascii="Arial" w:eastAsia="Arial Unicode MS" w:hAnsi="Arial" w:cs="Arial"/>
          <w:sz w:val="22"/>
          <w:szCs w:val="22"/>
        </w:rPr>
        <w:t xml:space="preserve"> </w:t>
      </w:r>
    </w:p>
    <w:p w14:paraId="0BF28773" w14:textId="77777777" w:rsidR="00E71E85" w:rsidRPr="00E71E85" w:rsidRDefault="00E71E85" w:rsidP="00E71E85">
      <w:pPr>
        <w:tabs>
          <w:tab w:val="left" w:pos="851"/>
        </w:tabs>
        <w:ind w:left="1134" w:hanging="1134"/>
        <w:jc w:val="both"/>
        <w:rPr>
          <w:rFonts w:ascii="Arial" w:eastAsia="Arial Unicode MS" w:hAnsi="Arial" w:cs="Arial"/>
          <w:sz w:val="22"/>
          <w:szCs w:val="22"/>
        </w:rPr>
      </w:pPr>
    </w:p>
    <w:p w14:paraId="7242F322" w14:textId="77777777" w:rsidR="00E71E85" w:rsidRPr="00E71E85" w:rsidRDefault="00AB18E8" w:rsidP="00833305">
      <w:pPr>
        <w:tabs>
          <w:tab w:val="left" w:pos="567"/>
        </w:tabs>
        <w:ind w:left="567" w:hanging="567"/>
        <w:jc w:val="both"/>
        <w:rPr>
          <w:rFonts w:ascii="Arial" w:eastAsia="Arial Unicode MS" w:hAnsi="Arial" w:cs="Arial"/>
          <w:sz w:val="22"/>
          <w:szCs w:val="22"/>
        </w:rPr>
      </w:pPr>
      <w:r>
        <w:rPr>
          <w:rFonts w:ascii="Arial" w:eastAsia="Arial Unicode MS" w:hAnsi="Arial" w:cs="Arial"/>
          <w:sz w:val="22"/>
          <w:szCs w:val="22"/>
        </w:rPr>
        <w:t>3</w:t>
      </w:r>
      <w:r w:rsidR="00E71E85">
        <w:rPr>
          <w:rFonts w:ascii="Arial" w:eastAsia="Arial Unicode MS" w:hAnsi="Arial" w:cs="Arial"/>
          <w:sz w:val="22"/>
          <w:szCs w:val="22"/>
        </w:rPr>
        <w:t>.2</w:t>
      </w:r>
      <w:r w:rsidR="00E71E85">
        <w:rPr>
          <w:rFonts w:ascii="Arial" w:eastAsia="Arial Unicode MS" w:hAnsi="Arial" w:cs="Arial"/>
          <w:sz w:val="22"/>
          <w:szCs w:val="22"/>
        </w:rPr>
        <w:tab/>
      </w:r>
      <w:r w:rsidR="00E71E85" w:rsidRPr="00E71E85">
        <w:rPr>
          <w:rFonts w:ascii="Arial" w:eastAsia="Arial Unicode MS" w:hAnsi="Arial" w:cs="Arial"/>
          <w:sz w:val="22"/>
          <w:szCs w:val="22"/>
        </w:rPr>
        <w:t>This includes the following line items as disclosed on the statement of financial position:</w:t>
      </w:r>
    </w:p>
    <w:p w14:paraId="0D764D93" w14:textId="77777777" w:rsidR="00E71E85" w:rsidRPr="00E71E85" w:rsidRDefault="00E71E85" w:rsidP="00E71E85">
      <w:pPr>
        <w:tabs>
          <w:tab w:val="left" w:pos="851"/>
        </w:tabs>
        <w:ind w:left="1134" w:hanging="1134"/>
        <w:jc w:val="both"/>
        <w:rPr>
          <w:rFonts w:ascii="Arial" w:eastAsia="Arial Unicode MS" w:hAnsi="Arial" w:cs="Arial"/>
          <w:sz w:val="22"/>
          <w:szCs w:val="22"/>
        </w:rPr>
      </w:pPr>
    </w:p>
    <w:p w14:paraId="0E8ABB60" w14:textId="77777777" w:rsidR="00E71E85" w:rsidRPr="00AB18E8" w:rsidRDefault="00E71E85" w:rsidP="005D496E">
      <w:pPr>
        <w:pStyle w:val="ListParagraph"/>
        <w:numPr>
          <w:ilvl w:val="2"/>
          <w:numId w:val="6"/>
        </w:numPr>
        <w:tabs>
          <w:tab w:val="left" w:pos="567"/>
        </w:tabs>
        <w:ind w:left="567" w:hanging="567"/>
        <w:jc w:val="both"/>
        <w:rPr>
          <w:rFonts w:ascii="Arial" w:eastAsia="Arial Unicode MS" w:hAnsi="Arial" w:cs="Arial"/>
          <w:szCs w:val="22"/>
        </w:rPr>
      </w:pPr>
      <w:r w:rsidRPr="00AB18E8">
        <w:rPr>
          <w:rFonts w:ascii="Arial" w:eastAsia="Arial Unicode MS" w:hAnsi="Arial" w:cs="Arial"/>
          <w:szCs w:val="22"/>
        </w:rPr>
        <w:t>Consumer receivables;</w:t>
      </w:r>
    </w:p>
    <w:p w14:paraId="7B430379" w14:textId="77777777" w:rsidR="00E71E85" w:rsidRPr="00AB18E8" w:rsidRDefault="00E71E85" w:rsidP="00E71E85">
      <w:pPr>
        <w:tabs>
          <w:tab w:val="left" w:pos="851"/>
        </w:tabs>
        <w:ind w:left="1134" w:hanging="1134"/>
        <w:jc w:val="both"/>
        <w:rPr>
          <w:rFonts w:ascii="Arial" w:eastAsia="Arial Unicode MS" w:hAnsi="Arial" w:cs="Arial"/>
          <w:sz w:val="22"/>
          <w:szCs w:val="22"/>
        </w:rPr>
      </w:pPr>
    </w:p>
    <w:p w14:paraId="54E94299" w14:textId="77777777" w:rsidR="00E71E85" w:rsidRPr="00AB18E8" w:rsidRDefault="00AB18E8" w:rsidP="00833305">
      <w:pPr>
        <w:tabs>
          <w:tab w:val="left" w:pos="567"/>
        </w:tabs>
        <w:jc w:val="both"/>
        <w:rPr>
          <w:rFonts w:ascii="Arial" w:eastAsia="Arial Unicode MS" w:hAnsi="Arial" w:cs="Arial"/>
          <w:sz w:val="22"/>
          <w:szCs w:val="22"/>
        </w:rPr>
      </w:pPr>
      <w:r w:rsidRPr="00AB18E8">
        <w:rPr>
          <w:rFonts w:ascii="Arial" w:eastAsia="Arial Unicode MS" w:hAnsi="Arial" w:cs="Arial"/>
          <w:sz w:val="22"/>
          <w:szCs w:val="22"/>
        </w:rPr>
        <w:t>3.2.2</w:t>
      </w:r>
      <w:r w:rsidRPr="00AB18E8">
        <w:rPr>
          <w:rFonts w:ascii="Arial" w:eastAsia="Arial Unicode MS" w:hAnsi="Arial" w:cs="Arial"/>
          <w:sz w:val="22"/>
          <w:szCs w:val="22"/>
        </w:rPr>
        <w:tab/>
      </w:r>
      <w:r w:rsidR="00E71E85" w:rsidRPr="00AB18E8">
        <w:rPr>
          <w:rFonts w:ascii="Arial" w:eastAsia="Arial Unicode MS" w:hAnsi="Arial" w:cs="Arial"/>
          <w:sz w:val="22"/>
          <w:szCs w:val="22"/>
        </w:rPr>
        <w:t>Receivables from exchange transactions; and</w:t>
      </w:r>
    </w:p>
    <w:p w14:paraId="13ACDB59" w14:textId="77777777" w:rsidR="00E71E85" w:rsidRPr="00AB18E8" w:rsidRDefault="00E71E85" w:rsidP="00833305">
      <w:pPr>
        <w:tabs>
          <w:tab w:val="left" w:pos="567"/>
        </w:tabs>
        <w:ind w:left="1134" w:hanging="1134"/>
        <w:jc w:val="both"/>
        <w:rPr>
          <w:rFonts w:ascii="Arial" w:eastAsia="Arial Unicode MS" w:hAnsi="Arial" w:cs="Arial"/>
          <w:sz w:val="22"/>
          <w:szCs w:val="22"/>
        </w:rPr>
      </w:pPr>
    </w:p>
    <w:p w14:paraId="6967B128" w14:textId="77777777" w:rsidR="00E71E85" w:rsidRPr="00AB18E8" w:rsidRDefault="00833305" w:rsidP="00833305">
      <w:pPr>
        <w:tabs>
          <w:tab w:val="left" w:pos="567"/>
        </w:tabs>
        <w:jc w:val="both"/>
        <w:rPr>
          <w:rFonts w:ascii="Arial" w:eastAsia="Arial Unicode MS" w:hAnsi="Arial" w:cs="Arial"/>
          <w:sz w:val="22"/>
          <w:szCs w:val="22"/>
        </w:rPr>
      </w:pPr>
      <w:r>
        <w:rPr>
          <w:rFonts w:ascii="Arial" w:eastAsia="Arial Unicode MS" w:hAnsi="Arial" w:cs="Arial"/>
          <w:sz w:val="22"/>
          <w:szCs w:val="22"/>
        </w:rPr>
        <w:t>3.2.3</w:t>
      </w:r>
      <w:r w:rsidR="00AB18E8" w:rsidRPr="00AB18E8">
        <w:rPr>
          <w:rFonts w:ascii="Arial" w:eastAsia="Arial Unicode MS" w:hAnsi="Arial" w:cs="Arial"/>
          <w:sz w:val="22"/>
          <w:szCs w:val="22"/>
        </w:rPr>
        <w:tab/>
      </w:r>
      <w:r w:rsidR="00E71E85" w:rsidRPr="00AB18E8">
        <w:rPr>
          <w:rFonts w:ascii="Arial" w:eastAsia="Arial Unicode MS" w:hAnsi="Arial" w:cs="Arial"/>
          <w:sz w:val="22"/>
          <w:szCs w:val="22"/>
        </w:rPr>
        <w:t>Receivables from non-exchange transactions.</w:t>
      </w:r>
    </w:p>
    <w:p w14:paraId="4A0444D7" w14:textId="77777777" w:rsidR="00AC0C74" w:rsidRPr="00AB18E8" w:rsidRDefault="00AC0C74" w:rsidP="00AC0C74">
      <w:pPr>
        <w:tabs>
          <w:tab w:val="left" w:pos="540"/>
        </w:tabs>
        <w:ind w:left="567" w:hanging="567"/>
        <w:jc w:val="both"/>
        <w:rPr>
          <w:rFonts w:ascii="Arial" w:eastAsia="Arial Unicode MS" w:hAnsi="Arial" w:cs="Arial"/>
          <w:sz w:val="22"/>
          <w:szCs w:val="22"/>
        </w:rPr>
      </w:pPr>
    </w:p>
    <w:p w14:paraId="20D1C8DE" w14:textId="77777777" w:rsidR="00F414B3" w:rsidRPr="00E839B1" w:rsidRDefault="00F414B3" w:rsidP="00F414B3">
      <w:pPr>
        <w:tabs>
          <w:tab w:val="left" w:pos="540"/>
        </w:tabs>
        <w:ind w:left="1134"/>
        <w:jc w:val="both"/>
        <w:rPr>
          <w:rFonts w:ascii="Arial" w:eastAsia="Arial Unicode MS" w:hAnsi="Arial" w:cs="Arial"/>
          <w:sz w:val="22"/>
          <w:szCs w:val="22"/>
        </w:rPr>
      </w:pPr>
    </w:p>
    <w:p w14:paraId="2B13C18B" w14:textId="77777777" w:rsidR="00BD66AF" w:rsidRDefault="00E71E85" w:rsidP="00833305">
      <w:pPr>
        <w:pStyle w:val="Heading1"/>
      </w:pPr>
      <w:bookmarkStart w:id="8" w:name="_Toc17119785"/>
      <w:bookmarkStart w:id="9" w:name="_Toc17120056"/>
      <w:r w:rsidRPr="00833305">
        <w:t>APPLICABLE</w:t>
      </w:r>
      <w:r>
        <w:t xml:space="preserve"> ACCOUNTING STANDARDS</w:t>
      </w:r>
      <w:bookmarkEnd w:id="8"/>
      <w:bookmarkEnd w:id="9"/>
    </w:p>
    <w:p w14:paraId="2FF4C39E" w14:textId="77777777" w:rsidR="00257B46" w:rsidRPr="00257B46" w:rsidRDefault="00257B46" w:rsidP="00257B46">
      <w:pPr>
        <w:rPr>
          <w:rFonts w:eastAsia="Arial Unicode MS"/>
        </w:rPr>
      </w:pPr>
    </w:p>
    <w:p w14:paraId="5C01613C" w14:textId="77777777" w:rsidR="00BD66AF" w:rsidRPr="00E839B1" w:rsidRDefault="00BD66AF" w:rsidP="00BD66AF">
      <w:pPr>
        <w:ind w:left="540" w:hanging="540"/>
        <w:jc w:val="both"/>
        <w:rPr>
          <w:rFonts w:ascii="Arial" w:eastAsia="Arial Unicode MS" w:hAnsi="Arial" w:cs="Arial"/>
          <w:sz w:val="22"/>
          <w:szCs w:val="22"/>
        </w:rPr>
      </w:pPr>
    </w:p>
    <w:p w14:paraId="3BFC16A9" w14:textId="77777777" w:rsidR="00833305" w:rsidRDefault="00E71E85" w:rsidP="005D496E">
      <w:pPr>
        <w:pStyle w:val="ListParagraph"/>
        <w:numPr>
          <w:ilvl w:val="1"/>
          <w:numId w:val="7"/>
        </w:numPr>
        <w:ind w:left="567" w:hanging="567"/>
        <w:jc w:val="both"/>
        <w:rPr>
          <w:rFonts w:ascii="Arial" w:eastAsia="Arial Unicode MS" w:hAnsi="Arial" w:cs="Arial"/>
          <w:szCs w:val="22"/>
        </w:rPr>
      </w:pPr>
      <w:r w:rsidRPr="00F235B5">
        <w:rPr>
          <w:rFonts w:ascii="Arial" w:eastAsia="Arial Unicode MS" w:hAnsi="Arial" w:cs="Arial"/>
          <w:b/>
          <w:szCs w:val="22"/>
        </w:rPr>
        <w:t>GRAP 104</w:t>
      </w:r>
      <w:r w:rsidRPr="00AB18E8">
        <w:rPr>
          <w:rFonts w:ascii="Arial" w:eastAsia="Arial Unicode MS" w:hAnsi="Arial" w:cs="Arial"/>
          <w:szCs w:val="22"/>
        </w:rPr>
        <w:t xml:space="preserve"> Financial Instruments sets out the requirements and guidelines for the impairment of financial assets subsequently carried at amortised cost.</w:t>
      </w:r>
    </w:p>
    <w:p w14:paraId="50FE1F65" w14:textId="77777777" w:rsidR="00833305" w:rsidRPr="00833305" w:rsidRDefault="00833305" w:rsidP="00833305">
      <w:pPr>
        <w:pStyle w:val="ListParagraph"/>
        <w:ind w:left="567"/>
        <w:jc w:val="both"/>
        <w:rPr>
          <w:rFonts w:ascii="Arial" w:eastAsia="Arial Unicode MS" w:hAnsi="Arial" w:cs="Arial"/>
          <w:szCs w:val="22"/>
        </w:rPr>
      </w:pPr>
    </w:p>
    <w:p w14:paraId="400742E7" w14:textId="77777777" w:rsidR="00833305" w:rsidRDefault="00E71E85" w:rsidP="005D496E">
      <w:pPr>
        <w:pStyle w:val="ListParagraph"/>
        <w:numPr>
          <w:ilvl w:val="1"/>
          <w:numId w:val="7"/>
        </w:numPr>
        <w:ind w:left="567" w:hanging="567"/>
        <w:jc w:val="both"/>
        <w:rPr>
          <w:rFonts w:ascii="Arial" w:eastAsia="Arial Unicode MS" w:hAnsi="Arial" w:cs="Arial"/>
          <w:szCs w:val="22"/>
        </w:rPr>
      </w:pPr>
      <w:r w:rsidRPr="00833305">
        <w:rPr>
          <w:rFonts w:ascii="Arial" w:eastAsia="Arial Unicode MS" w:hAnsi="Arial" w:cs="Arial"/>
          <w:b/>
          <w:szCs w:val="22"/>
        </w:rPr>
        <w:t>GRAP 104.46</w:t>
      </w:r>
      <w:r w:rsidRPr="00833305">
        <w:rPr>
          <w:rFonts w:ascii="Arial" w:eastAsia="Arial Unicode MS" w:hAnsi="Arial" w:cs="Arial"/>
          <w:szCs w:val="22"/>
        </w:rPr>
        <w:t xml:space="preserve"> “All financial assets measured at amortised cost, or cost, are subject to an impairment review</w:t>
      </w:r>
      <w:r w:rsidR="00833305">
        <w:rPr>
          <w:rFonts w:ascii="Arial" w:eastAsia="Arial Unicode MS" w:hAnsi="Arial" w:cs="Arial"/>
          <w:szCs w:val="22"/>
        </w:rPr>
        <w:t xml:space="preserve"> in accordance with paragraphs .57 to 64.</w:t>
      </w:r>
      <w:r w:rsidRPr="00833305">
        <w:rPr>
          <w:rFonts w:ascii="Arial" w:eastAsia="Arial Unicode MS" w:hAnsi="Arial" w:cs="Arial"/>
          <w:szCs w:val="22"/>
        </w:rPr>
        <w:t>”</w:t>
      </w:r>
    </w:p>
    <w:p w14:paraId="719E7041" w14:textId="77777777" w:rsidR="00833305" w:rsidRPr="00833305" w:rsidRDefault="00833305" w:rsidP="00833305">
      <w:pPr>
        <w:pStyle w:val="ListParagraph"/>
        <w:rPr>
          <w:rFonts w:ascii="Arial" w:eastAsia="Arial Unicode MS" w:hAnsi="Arial" w:cs="Arial"/>
          <w:b/>
          <w:szCs w:val="22"/>
        </w:rPr>
      </w:pPr>
    </w:p>
    <w:p w14:paraId="664573BC" w14:textId="77777777" w:rsidR="00E71E85" w:rsidRDefault="00E71E85" w:rsidP="005D496E">
      <w:pPr>
        <w:pStyle w:val="ListParagraph"/>
        <w:numPr>
          <w:ilvl w:val="1"/>
          <w:numId w:val="7"/>
        </w:numPr>
        <w:ind w:left="567" w:hanging="567"/>
        <w:jc w:val="both"/>
        <w:rPr>
          <w:rFonts w:ascii="Arial" w:eastAsia="Arial Unicode MS" w:hAnsi="Arial" w:cs="Arial"/>
          <w:szCs w:val="22"/>
        </w:rPr>
      </w:pPr>
      <w:r w:rsidRPr="00833305">
        <w:rPr>
          <w:rFonts w:ascii="Arial" w:eastAsia="Arial Unicode MS" w:hAnsi="Arial" w:cs="Arial"/>
          <w:b/>
          <w:szCs w:val="22"/>
        </w:rPr>
        <w:t>GRAP 104.57</w:t>
      </w:r>
      <w:r w:rsidRPr="00833305">
        <w:rPr>
          <w:rFonts w:ascii="Arial" w:eastAsia="Arial Unicode MS" w:hAnsi="Arial" w:cs="Arial"/>
          <w:szCs w:val="22"/>
        </w:rPr>
        <w:t xml:space="preserve"> “An entity shall assess at the end of each reporting period whether there is any objective evidence that a financial asset or group of financial assets is impaired. If any such evidence exists, the entity shall apply paragraphs .61 to .63 (for financial assets carried at amortised cost) and paragraph .64 (for financial assets carried at cost) to determine the </w:t>
      </w:r>
      <w:r w:rsidR="00833305">
        <w:rPr>
          <w:rFonts w:ascii="Arial" w:eastAsia="Arial Unicode MS" w:hAnsi="Arial" w:cs="Arial"/>
          <w:szCs w:val="22"/>
        </w:rPr>
        <w:t>amount of any impairment loss.”</w:t>
      </w:r>
    </w:p>
    <w:p w14:paraId="1175D289" w14:textId="77777777" w:rsidR="008667A5" w:rsidRPr="008667A5" w:rsidRDefault="008667A5" w:rsidP="008667A5">
      <w:pPr>
        <w:pStyle w:val="ListParagraph"/>
        <w:rPr>
          <w:rFonts w:ascii="Arial" w:eastAsia="Arial Unicode MS" w:hAnsi="Arial" w:cs="Arial"/>
          <w:szCs w:val="22"/>
        </w:rPr>
      </w:pPr>
    </w:p>
    <w:p w14:paraId="701A8013" w14:textId="77777777" w:rsidR="008667A5" w:rsidRDefault="008667A5" w:rsidP="008667A5">
      <w:pPr>
        <w:pStyle w:val="ListParagraph"/>
        <w:ind w:left="567"/>
        <w:jc w:val="both"/>
        <w:rPr>
          <w:rFonts w:ascii="Arial" w:eastAsia="Arial Unicode MS" w:hAnsi="Arial" w:cs="Arial"/>
          <w:szCs w:val="22"/>
        </w:rPr>
      </w:pPr>
    </w:p>
    <w:p w14:paraId="43B03C7B" w14:textId="77777777" w:rsidR="008667A5" w:rsidRDefault="008667A5" w:rsidP="008667A5">
      <w:pPr>
        <w:pStyle w:val="ListParagraph"/>
        <w:ind w:left="567"/>
        <w:jc w:val="both"/>
        <w:rPr>
          <w:rFonts w:ascii="Arial" w:eastAsia="Arial Unicode MS" w:hAnsi="Arial" w:cs="Arial"/>
          <w:szCs w:val="22"/>
        </w:rPr>
      </w:pPr>
    </w:p>
    <w:p w14:paraId="25E3CD90" w14:textId="77777777" w:rsidR="00E71E85" w:rsidRPr="00AB18E8" w:rsidRDefault="00E71E85" w:rsidP="005D496E">
      <w:pPr>
        <w:pStyle w:val="ListParagraph"/>
        <w:numPr>
          <w:ilvl w:val="1"/>
          <w:numId w:val="7"/>
        </w:numPr>
        <w:ind w:left="567" w:hanging="567"/>
        <w:jc w:val="both"/>
        <w:rPr>
          <w:rFonts w:ascii="Arial" w:eastAsia="Arial Unicode MS" w:hAnsi="Arial" w:cs="Arial"/>
          <w:szCs w:val="22"/>
        </w:rPr>
      </w:pPr>
      <w:r w:rsidRPr="00F235B5">
        <w:rPr>
          <w:rFonts w:ascii="Arial" w:eastAsia="Arial Unicode MS" w:hAnsi="Arial" w:cs="Arial"/>
          <w:b/>
          <w:szCs w:val="22"/>
        </w:rPr>
        <w:t>GRAP 104.58</w:t>
      </w:r>
      <w:r w:rsidRPr="00AB18E8">
        <w:rPr>
          <w:rFonts w:ascii="Arial" w:eastAsia="Arial Unicode MS" w:hAnsi="Arial" w:cs="Arial"/>
          <w:szCs w:val="22"/>
        </w:rPr>
        <w:t xml:space="preserve"> “A financial asset or a group of financial assets is impaired and impairment losses are incurred if, and only if, there is objective evidence of impairment as a result of one or more events that occurred after the </w:t>
      </w:r>
      <w:r w:rsidR="002C08BB" w:rsidRPr="00AB18E8">
        <w:rPr>
          <w:rFonts w:ascii="Arial" w:eastAsia="Arial Unicode MS" w:hAnsi="Arial" w:cs="Arial"/>
          <w:szCs w:val="22"/>
        </w:rPr>
        <w:t>initial recognition</w:t>
      </w:r>
      <w:r w:rsidR="0084723E">
        <w:rPr>
          <w:rFonts w:ascii="Arial" w:eastAsia="Arial Unicode MS" w:hAnsi="Arial" w:cs="Arial"/>
          <w:szCs w:val="22"/>
        </w:rPr>
        <w:t xml:space="preserve"> of the asset (a </w:t>
      </w:r>
      <w:r w:rsidRPr="00AB18E8">
        <w:rPr>
          <w:rFonts w:ascii="Arial" w:eastAsia="Arial Unicode MS" w:hAnsi="Arial" w:cs="Arial"/>
          <w:szCs w:val="22"/>
        </w:rPr>
        <w:t xml:space="preserve">loss </w:t>
      </w:r>
      <w:r w:rsidR="0084723E">
        <w:rPr>
          <w:rFonts w:ascii="Arial" w:eastAsia="Arial Unicode MS" w:hAnsi="Arial" w:cs="Arial"/>
          <w:szCs w:val="22"/>
        </w:rPr>
        <w:t>event)</w:t>
      </w:r>
      <w:r w:rsidRPr="00AB18E8">
        <w:rPr>
          <w:rFonts w:ascii="Arial" w:eastAsia="Arial Unicode MS" w:hAnsi="Arial" w:cs="Arial"/>
          <w:szCs w:val="22"/>
        </w:rPr>
        <w:t xml:space="preserve"> and that loss event (or events) has </w:t>
      </w:r>
      <w:r w:rsidR="002C08BB" w:rsidRPr="00AB18E8">
        <w:rPr>
          <w:rFonts w:ascii="Arial" w:eastAsia="Arial Unicode MS" w:hAnsi="Arial" w:cs="Arial"/>
          <w:szCs w:val="22"/>
        </w:rPr>
        <w:t>an impact</w:t>
      </w:r>
      <w:r w:rsidRPr="00AB18E8">
        <w:rPr>
          <w:rFonts w:ascii="Arial" w:eastAsia="Arial Unicode MS" w:hAnsi="Arial" w:cs="Arial"/>
          <w:szCs w:val="22"/>
        </w:rPr>
        <w:t xml:space="preserve"> on the estimated future cash flows of the financial asset or group of financial assets that can be reliably estimated.”</w:t>
      </w:r>
    </w:p>
    <w:p w14:paraId="2F51DBFD" w14:textId="77777777" w:rsidR="00E71E85" w:rsidRPr="00E71E85" w:rsidRDefault="00E71E85" w:rsidP="00AB18E8">
      <w:pPr>
        <w:ind w:left="360"/>
        <w:jc w:val="both"/>
        <w:rPr>
          <w:rFonts w:ascii="Arial" w:eastAsia="Arial Unicode MS" w:hAnsi="Arial" w:cs="Arial"/>
          <w:sz w:val="22"/>
          <w:szCs w:val="22"/>
        </w:rPr>
      </w:pPr>
    </w:p>
    <w:p w14:paraId="7271481B" w14:textId="77777777" w:rsidR="008A151C" w:rsidRDefault="00E71E85" w:rsidP="005D496E">
      <w:pPr>
        <w:pStyle w:val="ListParagraph"/>
        <w:numPr>
          <w:ilvl w:val="1"/>
          <w:numId w:val="7"/>
        </w:numPr>
        <w:ind w:left="567" w:hanging="567"/>
        <w:jc w:val="both"/>
        <w:rPr>
          <w:rFonts w:ascii="Arial" w:eastAsia="Arial Unicode MS" w:hAnsi="Arial" w:cs="Arial"/>
          <w:szCs w:val="22"/>
        </w:rPr>
      </w:pPr>
      <w:r w:rsidRPr="00F235B5">
        <w:rPr>
          <w:rFonts w:ascii="Arial" w:eastAsia="Arial Unicode MS" w:hAnsi="Arial" w:cs="Arial"/>
          <w:b/>
          <w:szCs w:val="22"/>
        </w:rPr>
        <w:t>GRAP 104.61</w:t>
      </w:r>
      <w:r w:rsidRPr="00AB18E8">
        <w:rPr>
          <w:rFonts w:ascii="Arial" w:eastAsia="Arial Unicode MS" w:hAnsi="Arial" w:cs="Arial"/>
          <w:szCs w:val="22"/>
        </w:rPr>
        <w:t xml:space="preserve"> “If there is objective evidence that an impairment loss on financial assets measured at amortised cost has been incurred, the amount of the loss is measured as the difference between the </w:t>
      </w:r>
      <w:r w:rsidR="002C08BB" w:rsidRPr="00AB18E8">
        <w:rPr>
          <w:rFonts w:ascii="Arial" w:eastAsia="Arial Unicode MS" w:hAnsi="Arial" w:cs="Arial"/>
          <w:szCs w:val="22"/>
        </w:rPr>
        <w:t>asset ‘</w:t>
      </w:r>
      <w:r w:rsidRPr="00AB18E8">
        <w:rPr>
          <w:rFonts w:ascii="Arial" w:eastAsia="Arial Unicode MS" w:hAnsi="Arial" w:cs="Arial"/>
          <w:szCs w:val="22"/>
        </w:rPr>
        <w:t xml:space="preserve">s carrying amount and the present value of estimated future cash flows (excluding future credit losses that have not been incurred) discounted at the financial </w:t>
      </w:r>
      <w:r w:rsidR="002C08BB" w:rsidRPr="00AB18E8">
        <w:rPr>
          <w:rFonts w:ascii="Arial" w:eastAsia="Arial Unicode MS" w:hAnsi="Arial" w:cs="Arial"/>
          <w:szCs w:val="22"/>
        </w:rPr>
        <w:t>asset ‘</w:t>
      </w:r>
      <w:r w:rsidRPr="00AB18E8">
        <w:rPr>
          <w:rFonts w:ascii="Arial" w:eastAsia="Arial Unicode MS" w:hAnsi="Arial" w:cs="Arial"/>
          <w:szCs w:val="22"/>
        </w:rPr>
        <w:t>s original effective interest rate (i.e. the effective interest rate computed at initial recognition). The carrying amount of the asset shall be reduced either directly or through the use of an allowance account. The amount of the loss shall be recognised in surplus or deficit.”</w:t>
      </w:r>
    </w:p>
    <w:p w14:paraId="7EE833C8" w14:textId="77777777" w:rsidR="008A151C" w:rsidRPr="008A151C" w:rsidRDefault="008A151C" w:rsidP="008A151C">
      <w:pPr>
        <w:pStyle w:val="ListParagraph"/>
        <w:rPr>
          <w:rFonts w:ascii="Arial" w:eastAsia="Arial Unicode MS" w:hAnsi="Arial" w:cs="Arial"/>
          <w:b/>
          <w:szCs w:val="22"/>
        </w:rPr>
      </w:pPr>
    </w:p>
    <w:p w14:paraId="2D178927" w14:textId="77777777" w:rsidR="00BD66AF" w:rsidRPr="008A151C" w:rsidRDefault="00E71E85" w:rsidP="005D496E">
      <w:pPr>
        <w:pStyle w:val="ListParagraph"/>
        <w:numPr>
          <w:ilvl w:val="1"/>
          <w:numId w:val="7"/>
        </w:numPr>
        <w:ind w:left="567" w:hanging="567"/>
        <w:jc w:val="both"/>
        <w:rPr>
          <w:rFonts w:ascii="Arial" w:eastAsia="Arial Unicode MS" w:hAnsi="Arial" w:cs="Arial"/>
          <w:szCs w:val="22"/>
        </w:rPr>
      </w:pPr>
      <w:r w:rsidRPr="008A151C">
        <w:rPr>
          <w:rFonts w:ascii="Arial" w:eastAsia="Arial Unicode MS" w:hAnsi="Arial" w:cs="Arial"/>
          <w:b/>
          <w:szCs w:val="22"/>
        </w:rPr>
        <w:t>GRAP 104.62</w:t>
      </w:r>
      <w:r w:rsidRPr="008A151C">
        <w:rPr>
          <w:rFonts w:ascii="Arial" w:eastAsia="Arial Unicode MS" w:hAnsi="Arial" w:cs="Arial"/>
          <w:szCs w:val="22"/>
        </w:rPr>
        <w:t xml:space="preserve"> “An entity first assesses whether objective evidence of impairment exists individually for financial assets that are individually significant, and individually or collectively for financial assets that are not individually significant (see paragraph</w:t>
      </w:r>
      <w:r w:rsidR="00A90F70" w:rsidRPr="008A151C">
        <w:rPr>
          <w:rFonts w:ascii="Arial" w:eastAsia="Arial Unicode MS" w:hAnsi="Arial" w:cs="Arial"/>
          <w:szCs w:val="22"/>
        </w:rPr>
        <w:t xml:space="preserve"> </w:t>
      </w:r>
      <w:r w:rsidRPr="008A151C">
        <w:rPr>
          <w:rFonts w:ascii="Arial" w:eastAsia="Arial Unicode MS" w:hAnsi="Arial" w:cs="Arial"/>
          <w:szCs w:val="22"/>
        </w:rPr>
        <w:t>.58). If an entity determines that no objective evidence of impairment exists for an individually assessed financial asset, whether significant or not, it includes the asset in a group of financial assets with similar credit risk characteristics and collectively assesses them for impairment.”</w:t>
      </w:r>
      <w:r w:rsidR="00C27B30" w:rsidRPr="008A151C">
        <w:rPr>
          <w:rFonts w:ascii="Arial" w:eastAsia="Arial Unicode MS" w:hAnsi="Arial" w:cs="Arial"/>
          <w:szCs w:val="22"/>
        </w:rPr>
        <w:t xml:space="preserve"> </w:t>
      </w:r>
    </w:p>
    <w:p w14:paraId="7AF55CA1" w14:textId="77777777" w:rsidR="00A90F70" w:rsidRDefault="00A90F70" w:rsidP="008A151C">
      <w:pPr>
        <w:pStyle w:val="ListParagraph"/>
        <w:ind w:hanging="11"/>
        <w:rPr>
          <w:rFonts w:ascii="Arial" w:eastAsia="Arial Unicode MS" w:hAnsi="Arial" w:cs="Arial"/>
          <w:szCs w:val="22"/>
        </w:rPr>
      </w:pPr>
    </w:p>
    <w:p w14:paraId="31EF86EC" w14:textId="77777777" w:rsidR="00CA4ABE" w:rsidRDefault="00CA4ABE" w:rsidP="00A90F70">
      <w:pPr>
        <w:pStyle w:val="ListParagraph"/>
        <w:rPr>
          <w:rFonts w:ascii="Arial" w:eastAsia="Arial Unicode MS" w:hAnsi="Arial" w:cs="Arial"/>
          <w:szCs w:val="22"/>
        </w:rPr>
      </w:pPr>
    </w:p>
    <w:p w14:paraId="4D17DE15" w14:textId="77777777" w:rsidR="00A90F70" w:rsidRPr="00A90F70" w:rsidRDefault="00A90F70" w:rsidP="00012647">
      <w:pPr>
        <w:pStyle w:val="Heading1"/>
        <w:tabs>
          <w:tab w:val="clear" w:pos="540"/>
          <w:tab w:val="clear" w:pos="1260"/>
          <w:tab w:val="num" w:pos="851"/>
        </w:tabs>
        <w:ind w:left="851" w:hanging="851"/>
      </w:pPr>
      <w:bookmarkStart w:id="10" w:name="_Toc17119786"/>
      <w:bookmarkStart w:id="11" w:name="_Toc17120057"/>
      <w:r w:rsidRPr="00A90F70">
        <w:t>METHODOLOGY</w:t>
      </w:r>
      <w:bookmarkEnd w:id="10"/>
      <w:bookmarkEnd w:id="11"/>
    </w:p>
    <w:p w14:paraId="27AF9702" w14:textId="77777777" w:rsidR="00A90F70" w:rsidRPr="00A90F70" w:rsidRDefault="00A90F70" w:rsidP="00A90F70">
      <w:pPr>
        <w:pStyle w:val="ListParagraph"/>
        <w:ind w:left="360"/>
        <w:jc w:val="both"/>
        <w:rPr>
          <w:rFonts w:ascii="Arial" w:eastAsia="Arial Unicode MS" w:hAnsi="Arial" w:cs="Arial"/>
          <w:szCs w:val="22"/>
        </w:rPr>
      </w:pPr>
    </w:p>
    <w:p w14:paraId="1640F73A" w14:textId="77777777" w:rsidR="00A90F70" w:rsidRPr="008A151C" w:rsidRDefault="00A90F70" w:rsidP="00676903">
      <w:pPr>
        <w:pStyle w:val="Heading2"/>
      </w:pPr>
      <w:bookmarkStart w:id="12" w:name="_Toc17119787"/>
      <w:bookmarkStart w:id="13" w:name="_Toc17120058"/>
      <w:r w:rsidRPr="008A151C">
        <w:t>Timing of Assessment</w:t>
      </w:r>
      <w:bookmarkEnd w:id="12"/>
      <w:bookmarkEnd w:id="13"/>
    </w:p>
    <w:p w14:paraId="55593B32" w14:textId="77777777" w:rsidR="00A90F70" w:rsidRPr="00A90F70" w:rsidRDefault="00A90F70" w:rsidP="00A90F70">
      <w:pPr>
        <w:pStyle w:val="ListParagraph"/>
        <w:ind w:left="360"/>
        <w:jc w:val="both"/>
        <w:rPr>
          <w:rFonts w:ascii="Arial" w:eastAsia="Arial Unicode MS" w:hAnsi="Arial" w:cs="Arial"/>
          <w:szCs w:val="22"/>
        </w:rPr>
      </w:pPr>
    </w:p>
    <w:p w14:paraId="5B40BFCF" w14:textId="77777777" w:rsidR="004E751E" w:rsidRDefault="00A90F70" w:rsidP="005D496E">
      <w:pPr>
        <w:pStyle w:val="ListParagraph"/>
        <w:numPr>
          <w:ilvl w:val="2"/>
          <w:numId w:val="10"/>
        </w:numPr>
        <w:ind w:left="851" w:hanging="851"/>
        <w:jc w:val="both"/>
        <w:rPr>
          <w:rFonts w:ascii="Arial" w:eastAsia="Arial Unicode MS" w:hAnsi="Arial" w:cs="Arial"/>
          <w:szCs w:val="22"/>
        </w:rPr>
      </w:pPr>
      <w:r w:rsidRPr="00A90F70">
        <w:rPr>
          <w:rFonts w:ascii="Arial" w:eastAsia="Arial Unicode MS" w:hAnsi="Arial" w:cs="Arial"/>
          <w:szCs w:val="22"/>
        </w:rPr>
        <w:t>The Municipality will assess a</w:t>
      </w:r>
      <w:r w:rsidR="00F235B5">
        <w:rPr>
          <w:rFonts w:ascii="Arial" w:eastAsia="Arial Unicode MS" w:hAnsi="Arial" w:cs="Arial"/>
          <w:szCs w:val="22"/>
        </w:rPr>
        <w:t>t the end of each financial year,</w:t>
      </w:r>
      <w:r w:rsidRPr="00A90F70">
        <w:rPr>
          <w:rFonts w:ascii="Arial" w:eastAsia="Arial Unicode MS" w:hAnsi="Arial" w:cs="Arial"/>
          <w:szCs w:val="22"/>
        </w:rPr>
        <w:t xml:space="preserve"> whether there is objective evidence</w:t>
      </w:r>
      <w:r w:rsidR="00F235B5">
        <w:rPr>
          <w:rFonts w:ascii="Arial" w:eastAsia="Arial Unicode MS" w:hAnsi="Arial" w:cs="Arial"/>
          <w:szCs w:val="22"/>
        </w:rPr>
        <w:t>,</w:t>
      </w:r>
      <w:r w:rsidRPr="00A90F70">
        <w:rPr>
          <w:rFonts w:ascii="Arial" w:eastAsia="Arial Unicode MS" w:hAnsi="Arial" w:cs="Arial"/>
          <w:szCs w:val="22"/>
        </w:rPr>
        <w:t xml:space="preserve"> that a receivable account or group of receivable accounts is impaired.</w:t>
      </w:r>
    </w:p>
    <w:p w14:paraId="5E0B4F73" w14:textId="77777777" w:rsidR="00CA4ABE" w:rsidRDefault="00CA4ABE" w:rsidP="00CA4ABE">
      <w:pPr>
        <w:pStyle w:val="ListParagraph"/>
        <w:ind w:left="851"/>
        <w:jc w:val="both"/>
        <w:rPr>
          <w:rFonts w:ascii="Arial" w:eastAsia="Arial Unicode MS" w:hAnsi="Arial" w:cs="Arial"/>
          <w:szCs w:val="22"/>
        </w:rPr>
      </w:pPr>
    </w:p>
    <w:p w14:paraId="72F3D427" w14:textId="77777777" w:rsidR="00512C00" w:rsidRPr="00CA4ABE" w:rsidRDefault="00512C00" w:rsidP="00CA4ABE">
      <w:pPr>
        <w:pStyle w:val="ListParagraph"/>
        <w:ind w:left="851"/>
        <w:jc w:val="both"/>
        <w:rPr>
          <w:rFonts w:ascii="Arial" w:eastAsia="Arial Unicode MS" w:hAnsi="Arial" w:cs="Arial"/>
          <w:szCs w:val="22"/>
        </w:rPr>
      </w:pPr>
    </w:p>
    <w:p w14:paraId="0F1ED328" w14:textId="77777777" w:rsidR="00A90F70" w:rsidRPr="00B90F4E" w:rsidRDefault="00A90F70" w:rsidP="00676903">
      <w:pPr>
        <w:pStyle w:val="Heading2"/>
      </w:pPr>
      <w:bookmarkStart w:id="14" w:name="_Toc17119788"/>
      <w:bookmarkStart w:id="15" w:name="_Toc17120059"/>
      <w:r w:rsidRPr="00B90F4E">
        <w:t>Evidence of Impairment</w:t>
      </w:r>
      <w:bookmarkEnd w:id="14"/>
      <w:bookmarkEnd w:id="15"/>
    </w:p>
    <w:p w14:paraId="2C976A18" w14:textId="77777777" w:rsidR="00A90F70" w:rsidRPr="00A90F70" w:rsidRDefault="00A90F70" w:rsidP="00A90F70">
      <w:pPr>
        <w:pStyle w:val="ListParagraph"/>
        <w:ind w:left="360"/>
        <w:jc w:val="both"/>
        <w:rPr>
          <w:rFonts w:ascii="Arial" w:eastAsia="Arial Unicode MS" w:hAnsi="Arial" w:cs="Arial"/>
          <w:szCs w:val="22"/>
        </w:rPr>
      </w:pPr>
    </w:p>
    <w:p w14:paraId="47CDD5E9" w14:textId="77777777" w:rsidR="00A90F70" w:rsidRPr="00A90F70" w:rsidRDefault="00A90F70" w:rsidP="005D496E">
      <w:pPr>
        <w:pStyle w:val="ListParagraph"/>
        <w:numPr>
          <w:ilvl w:val="2"/>
          <w:numId w:val="10"/>
        </w:numPr>
        <w:ind w:left="851" w:hanging="851"/>
        <w:jc w:val="both"/>
        <w:rPr>
          <w:rFonts w:ascii="Arial" w:eastAsia="Arial Unicode MS" w:hAnsi="Arial" w:cs="Arial"/>
          <w:szCs w:val="22"/>
        </w:rPr>
      </w:pPr>
      <w:r w:rsidRPr="00A90F70">
        <w:rPr>
          <w:rFonts w:ascii="Arial" w:eastAsia="Arial Unicode MS" w:hAnsi="Arial" w:cs="Arial"/>
          <w:szCs w:val="22"/>
        </w:rPr>
        <w:t>The following accounts are specifically excluded from impairment testing:</w:t>
      </w:r>
    </w:p>
    <w:p w14:paraId="3E943884" w14:textId="77777777" w:rsidR="00A90F70" w:rsidRPr="00A90F70" w:rsidRDefault="00A90F70" w:rsidP="004E751E">
      <w:pPr>
        <w:pStyle w:val="ListParagraph"/>
        <w:ind w:left="360"/>
        <w:jc w:val="both"/>
        <w:rPr>
          <w:rFonts w:ascii="Arial" w:eastAsia="Arial Unicode MS" w:hAnsi="Arial" w:cs="Arial"/>
          <w:szCs w:val="22"/>
        </w:rPr>
      </w:pPr>
    </w:p>
    <w:p w14:paraId="5748F6DE" w14:textId="77777777" w:rsidR="00A90F70" w:rsidRDefault="00A90F70" w:rsidP="005D496E">
      <w:pPr>
        <w:pStyle w:val="ListParagraph"/>
        <w:numPr>
          <w:ilvl w:val="3"/>
          <w:numId w:val="10"/>
        </w:numPr>
        <w:ind w:left="851" w:hanging="851"/>
        <w:jc w:val="both"/>
        <w:rPr>
          <w:rFonts w:ascii="Arial" w:eastAsia="Arial Unicode MS" w:hAnsi="Arial" w:cs="Arial"/>
          <w:szCs w:val="22"/>
        </w:rPr>
      </w:pPr>
      <w:r w:rsidRPr="004E751E">
        <w:rPr>
          <w:rFonts w:ascii="Arial" w:eastAsia="Arial Unicode MS" w:hAnsi="Arial" w:cs="Arial"/>
          <w:szCs w:val="22"/>
        </w:rPr>
        <w:t>Receivable accounts with a combined credit balance at reporting date;</w:t>
      </w:r>
    </w:p>
    <w:p w14:paraId="25339777" w14:textId="77777777" w:rsidR="004E751E" w:rsidRPr="004E751E" w:rsidRDefault="004E751E" w:rsidP="004E751E">
      <w:pPr>
        <w:pStyle w:val="ListParagraph"/>
        <w:ind w:left="851"/>
        <w:jc w:val="both"/>
        <w:rPr>
          <w:rFonts w:ascii="Arial" w:eastAsia="Arial Unicode MS" w:hAnsi="Arial" w:cs="Arial"/>
          <w:szCs w:val="22"/>
        </w:rPr>
      </w:pPr>
    </w:p>
    <w:p w14:paraId="47466A86" w14:textId="3A1605FC" w:rsidR="00A90F70" w:rsidRPr="002F077B" w:rsidRDefault="00A90F70" w:rsidP="002F077B">
      <w:pPr>
        <w:pStyle w:val="ListParagraph"/>
        <w:numPr>
          <w:ilvl w:val="3"/>
          <w:numId w:val="10"/>
        </w:numPr>
        <w:ind w:left="851" w:hanging="851"/>
        <w:jc w:val="both"/>
        <w:rPr>
          <w:rFonts w:ascii="Arial" w:eastAsia="Arial Unicode MS" w:hAnsi="Arial" w:cs="Arial"/>
          <w:szCs w:val="22"/>
        </w:rPr>
      </w:pPr>
      <w:r w:rsidRPr="002F077B">
        <w:rPr>
          <w:rFonts w:ascii="Arial" w:eastAsia="Arial Unicode MS" w:hAnsi="Arial" w:cs="Arial"/>
          <w:szCs w:val="22"/>
        </w:rPr>
        <w:t>Receivable accounts where the combined balance at reporting date is zero;</w:t>
      </w:r>
    </w:p>
    <w:p w14:paraId="73717CA7" w14:textId="77777777" w:rsidR="004E751E" w:rsidRPr="002F077B" w:rsidRDefault="004E751E" w:rsidP="004E751E">
      <w:pPr>
        <w:pStyle w:val="ListParagraph"/>
        <w:ind w:left="851"/>
        <w:jc w:val="both"/>
        <w:rPr>
          <w:rFonts w:ascii="Arial" w:eastAsia="Arial Unicode MS" w:hAnsi="Arial" w:cs="Arial"/>
          <w:szCs w:val="22"/>
        </w:rPr>
      </w:pPr>
    </w:p>
    <w:p w14:paraId="63C81B09" w14:textId="267099E4" w:rsidR="00A90F70" w:rsidRPr="002F077B" w:rsidRDefault="002F077B" w:rsidP="002F077B">
      <w:pPr>
        <w:jc w:val="both"/>
        <w:rPr>
          <w:rFonts w:ascii="Arial" w:eastAsia="Arial Unicode MS" w:hAnsi="Arial" w:cs="Arial"/>
          <w:sz w:val="22"/>
          <w:szCs w:val="22"/>
        </w:rPr>
      </w:pPr>
      <w:r>
        <w:rPr>
          <w:rFonts w:ascii="Arial" w:eastAsia="Arial Unicode MS" w:hAnsi="Arial" w:cs="Arial"/>
          <w:sz w:val="22"/>
          <w:szCs w:val="22"/>
        </w:rPr>
        <w:t>5.2.1.3</w:t>
      </w:r>
      <w:r>
        <w:rPr>
          <w:rFonts w:ascii="Arial" w:eastAsia="Arial Unicode MS" w:hAnsi="Arial" w:cs="Arial"/>
          <w:sz w:val="22"/>
          <w:szCs w:val="22"/>
        </w:rPr>
        <w:tab/>
        <w:t xml:space="preserve">  Receivable</w:t>
      </w:r>
      <w:r w:rsidR="00A90F70" w:rsidRPr="002F077B">
        <w:rPr>
          <w:rFonts w:ascii="Arial" w:eastAsia="Arial Unicode MS" w:hAnsi="Arial" w:cs="Arial"/>
          <w:sz w:val="22"/>
          <w:szCs w:val="22"/>
        </w:rPr>
        <w:t xml:space="preserve"> accounts where the Msunduzi Municipality is the account holder</w:t>
      </w:r>
      <w:r w:rsidR="00654F89" w:rsidRPr="002F077B">
        <w:rPr>
          <w:rFonts w:ascii="Arial" w:eastAsia="Arial Unicode MS" w:hAnsi="Arial" w:cs="Arial"/>
          <w:sz w:val="22"/>
          <w:szCs w:val="22"/>
        </w:rPr>
        <w:t>;</w:t>
      </w:r>
    </w:p>
    <w:p w14:paraId="0EC21897" w14:textId="77777777" w:rsidR="004E751E" w:rsidRPr="004E751E" w:rsidRDefault="004E751E" w:rsidP="004E751E">
      <w:pPr>
        <w:pStyle w:val="ListParagraph"/>
        <w:rPr>
          <w:rFonts w:ascii="Arial" w:eastAsia="Arial Unicode MS" w:hAnsi="Arial" w:cs="Arial"/>
          <w:szCs w:val="22"/>
        </w:rPr>
      </w:pPr>
    </w:p>
    <w:p w14:paraId="4736170C" w14:textId="4AE668B1" w:rsidR="00A90F70" w:rsidRPr="002F077B" w:rsidRDefault="00A90F70" w:rsidP="0001024E">
      <w:pPr>
        <w:pStyle w:val="ListParagraph"/>
        <w:numPr>
          <w:ilvl w:val="3"/>
          <w:numId w:val="10"/>
        </w:numPr>
        <w:ind w:left="851" w:hanging="851"/>
        <w:jc w:val="both"/>
        <w:rPr>
          <w:rFonts w:ascii="Arial" w:eastAsia="Arial Unicode MS" w:hAnsi="Arial" w:cs="Arial"/>
          <w:szCs w:val="22"/>
        </w:rPr>
      </w:pPr>
      <w:r w:rsidRPr="002F077B">
        <w:rPr>
          <w:rFonts w:ascii="Arial" w:eastAsia="Arial Unicode MS" w:hAnsi="Arial" w:cs="Arial"/>
          <w:szCs w:val="22"/>
        </w:rPr>
        <w:t xml:space="preserve">Receivable accounts where the Government, State Owned Entities and Other </w:t>
      </w:r>
      <w:r w:rsidR="002F077B" w:rsidRPr="002F077B">
        <w:rPr>
          <w:rFonts w:ascii="Arial" w:eastAsia="Arial Unicode MS" w:hAnsi="Arial" w:cs="Arial"/>
          <w:szCs w:val="22"/>
        </w:rPr>
        <w:t xml:space="preserve">  </w:t>
      </w:r>
      <w:r w:rsidRPr="002F077B">
        <w:rPr>
          <w:rFonts w:ascii="Arial" w:eastAsia="Arial Unicode MS" w:hAnsi="Arial" w:cs="Arial"/>
          <w:szCs w:val="22"/>
        </w:rPr>
        <w:t>Municipalities is the account holder</w:t>
      </w:r>
      <w:r w:rsidR="00654F89" w:rsidRPr="002F077B">
        <w:rPr>
          <w:rFonts w:ascii="Arial" w:eastAsia="Arial Unicode MS" w:hAnsi="Arial" w:cs="Arial"/>
          <w:szCs w:val="22"/>
        </w:rPr>
        <w:t>; and</w:t>
      </w:r>
    </w:p>
    <w:p w14:paraId="3864677F" w14:textId="77777777" w:rsidR="002F077B" w:rsidRPr="002F077B" w:rsidRDefault="002F077B" w:rsidP="002F077B">
      <w:pPr>
        <w:pStyle w:val="ListParagraph"/>
        <w:ind w:left="1080"/>
        <w:jc w:val="both"/>
        <w:rPr>
          <w:rFonts w:ascii="Arial" w:eastAsia="Arial Unicode MS" w:hAnsi="Arial" w:cs="Arial"/>
          <w:szCs w:val="22"/>
        </w:rPr>
      </w:pPr>
    </w:p>
    <w:p w14:paraId="1C1F22FB" w14:textId="5206C953" w:rsidR="00A90F70" w:rsidRPr="002F077B" w:rsidRDefault="002F077B" w:rsidP="002F077B">
      <w:pPr>
        <w:ind w:left="851" w:hanging="851"/>
        <w:jc w:val="both"/>
        <w:rPr>
          <w:rFonts w:ascii="Arial" w:eastAsia="Arial Unicode MS" w:hAnsi="Arial" w:cs="Arial"/>
          <w:sz w:val="22"/>
          <w:szCs w:val="22"/>
        </w:rPr>
      </w:pPr>
      <w:r>
        <w:rPr>
          <w:rFonts w:ascii="Arial" w:eastAsia="Arial Unicode MS" w:hAnsi="Arial" w:cs="Arial"/>
          <w:sz w:val="22"/>
          <w:szCs w:val="22"/>
        </w:rPr>
        <w:lastRenderedPageBreak/>
        <w:t>5.2.1.5</w:t>
      </w:r>
      <w:r>
        <w:rPr>
          <w:rFonts w:ascii="Arial" w:eastAsia="Arial Unicode MS" w:hAnsi="Arial" w:cs="Arial"/>
          <w:sz w:val="22"/>
          <w:szCs w:val="22"/>
        </w:rPr>
        <w:tab/>
      </w:r>
      <w:r w:rsidR="00A90F70" w:rsidRPr="002F077B">
        <w:rPr>
          <w:rFonts w:ascii="Arial" w:eastAsia="Arial Unicode MS" w:hAnsi="Arial" w:cs="Arial"/>
          <w:sz w:val="22"/>
          <w:szCs w:val="22"/>
        </w:rPr>
        <w:t>Receivable accounts that have no balance outstanding greater than 30 days at reporting date as these accounts are considered not to be past due.</w:t>
      </w:r>
    </w:p>
    <w:p w14:paraId="718DAE41" w14:textId="77777777" w:rsidR="00A90F70" w:rsidRDefault="00A90F70" w:rsidP="00CA4ABE">
      <w:pPr>
        <w:jc w:val="both"/>
        <w:rPr>
          <w:rFonts w:ascii="Arial" w:eastAsia="Arial Unicode MS" w:hAnsi="Arial" w:cs="Arial"/>
          <w:b/>
          <w:szCs w:val="22"/>
        </w:rPr>
      </w:pPr>
    </w:p>
    <w:p w14:paraId="6362EC5C" w14:textId="77777777" w:rsidR="008A151C" w:rsidRPr="00887CE0" w:rsidRDefault="008A151C" w:rsidP="00676903">
      <w:pPr>
        <w:pStyle w:val="BodyText"/>
        <w:tabs>
          <w:tab w:val="left" w:pos="851"/>
        </w:tabs>
        <w:spacing w:before="1"/>
        <w:ind w:left="851" w:right="-7" w:hanging="851"/>
        <w:rPr>
          <w:sz w:val="22"/>
          <w:szCs w:val="22"/>
        </w:rPr>
      </w:pPr>
      <w:bookmarkStart w:id="16" w:name="OLE_LINK2"/>
      <w:r w:rsidRPr="00887CE0">
        <w:rPr>
          <w:sz w:val="22"/>
          <w:szCs w:val="22"/>
        </w:rPr>
        <w:t>5.2.2</w:t>
      </w:r>
      <w:r w:rsidRPr="00887CE0">
        <w:rPr>
          <w:sz w:val="22"/>
          <w:szCs w:val="22"/>
        </w:rPr>
        <w:tab/>
        <w:t>Any one of the following events is considered to provide objective evidence that a receivable account or group of receiv</w:t>
      </w:r>
      <w:r w:rsidR="00887CE0">
        <w:rPr>
          <w:sz w:val="22"/>
          <w:szCs w:val="22"/>
        </w:rPr>
        <w:t>able accounts</w:t>
      </w:r>
      <w:r w:rsidR="004B5A85">
        <w:rPr>
          <w:sz w:val="22"/>
          <w:szCs w:val="22"/>
        </w:rPr>
        <w:t>, other than those accounts referred to in (5.2.1) above,</w:t>
      </w:r>
      <w:r w:rsidR="00887CE0">
        <w:rPr>
          <w:sz w:val="22"/>
          <w:szCs w:val="22"/>
        </w:rPr>
        <w:t xml:space="preserve"> could be impaired:</w:t>
      </w:r>
    </w:p>
    <w:p w14:paraId="65126780" w14:textId="1AA3AF39" w:rsidR="00887CE0" w:rsidRPr="00512C00" w:rsidRDefault="00887CE0" w:rsidP="00512C00">
      <w:pPr>
        <w:pStyle w:val="Heading2"/>
        <w:numPr>
          <w:ilvl w:val="0"/>
          <w:numId w:val="0"/>
        </w:numPr>
        <w:tabs>
          <w:tab w:val="left" w:pos="851"/>
        </w:tabs>
        <w:ind w:left="851" w:hanging="851"/>
        <w:rPr>
          <w:b w:val="0"/>
        </w:rPr>
      </w:pPr>
      <w:bookmarkStart w:id="17" w:name="_Toc17119789"/>
      <w:bookmarkStart w:id="18" w:name="_Toc17119878"/>
      <w:bookmarkStart w:id="19" w:name="_Toc17120060"/>
      <w:r w:rsidRPr="00512C00">
        <w:rPr>
          <w:b w:val="0"/>
        </w:rPr>
        <w:t>5.2.2.1</w:t>
      </w:r>
      <w:r w:rsidRPr="00512C00">
        <w:rPr>
          <w:b w:val="0"/>
        </w:rPr>
        <w:tab/>
      </w:r>
      <w:r w:rsidR="00F335A8">
        <w:rPr>
          <w:b w:val="0"/>
        </w:rPr>
        <w:t>R</w:t>
      </w:r>
      <w:r w:rsidR="008A151C" w:rsidRPr="00512C00">
        <w:rPr>
          <w:b w:val="0"/>
        </w:rPr>
        <w:t>eceivables that have been placed under or applied for liquidation or sequestration;</w:t>
      </w:r>
      <w:bookmarkEnd w:id="17"/>
      <w:bookmarkEnd w:id="18"/>
      <w:bookmarkEnd w:id="19"/>
    </w:p>
    <w:p w14:paraId="0E1990CA" w14:textId="77777777" w:rsidR="00887CE0" w:rsidRPr="00512C00" w:rsidRDefault="00887CE0" w:rsidP="00676903">
      <w:pPr>
        <w:pStyle w:val="Heading2"/>
        <w:numPr>
          <w:ilvl w:val="0"/>
          <w:numId w:val="0"/>
        </w:numPr>
        <w:ind w:left="851"/>
        <w:rPr>
          <w:b w:val="0"/>
        </w:rPr>
      </w:pPr>
    </w:p>
    <w:p w14:paraId="4570E9D0" w14:textId="760B0F07" w:rsidR="008A151C" w:rsidRPr="00512C00" w:rsidRDefault="00887CE0" w:rsidP="00512C00">
      <w:pPr>
        <w:pStyle w:val="Heading2"/>
        <w:numPr>
          <w:ilvl w:val="0"/>
          <w:numId w:val="0"/>
        </w:numPr>
        <w:ind w:left="851" w:hanging="851"/>
        <w:rPr>
          <w:b w:val="0"/>
        </w:rPr>
      </w:pPr>
      <w:bookmarkStart w:id="20" w:name="_Toc17119795"/>
      <w:bookmarkStart w:id="21" w:name="_Toc17119884"/>
      <w:bookmarkStart w:id="22" w:name="_Toc17120066"/>
      <w:r w:rsidRPr="00512C00">
        <w:rPr>
          <w:b w:val="0"/>
        </w:rPr>
        <w:t>5.2.2.</w:t>
      </w:r>
      <w:r w:rsidR="002F077B">
        <w:rPr>
          <w:b w:val="0"/>
        </w:rPr>
        <w:t>2</w:t>
      </w:r>
      <w:r w:rsidRPr="00512C00">
        <w:rPr>
          <w:b w:val="0"/>
        </w:rPr>
        <w:tab/>
      </w:r>
      <w:r w:rsidR="008A151C" w:rsidRPr="00512C00">
        <w:rPr>
          <w:b w:val="0"/>
        </w:rPr>
        <w:t>All acco</w:t>
      </w:r>
      <w:r w:rsidR="005009BD">
        <w:rPr>
          <w:b w:val="0"/>
        </w:rPr>
        <w:t xml:space="preserve">unts with balances outstanding </w:t>
      </w:r>
      <w:r w:rsidR="00B810C6">
        <w:rPr>
          <w:b w:val="0"/>
        </w:rPr>
        <w:t>9</w:t>
      </w:r>
      <w:r w:rsidR="008A151C" w:rsidRPr="00512C00">
        <w:rPr>
          <w:b w:val="0"/>
        </w:rPr>
        <w:t>0 days and longer as these accounts are considered to be past</w:t>
      </w:r>
      <w:r w:rsidR="008A151C" w:rsidRPr="00512C00">
        <w:rPr>
          <w:b w:val="0"/>
          <w:spacing w:val="1"/>
        </w:rPr>
        <w:t xml:space="preserve"> </w:t>
      </w:r>
      <w:r w:rsidR="008A151C" w:rsidRPr="00512C00">
        <w:rPr>
          <w:b w:val="0"/>
        </w:rPr>
        <w:t>due</w:t>
      </w:r>
      <w:r w:rsidRPr="00512C00">
        <w:rPr>
          <w:b w:val="0"/>
        </w:rPr>
        <w:t>.</w:t>
      </w:r>
      <w:bookmarkEnd w:id="20"/>
      <w:bookmarkEnd w:id="21"/>
      <w:bookmarkEnd w:id="22"/>
    </w:p>
    <w:bookmarkEnd w:id="16"/>
    <w:p w14:paraId="17C6BA70" w14:textId="77777777" w:rsidR="008A151C" w:rsidRDefault="008A151C" w:rsidP="00CA4ABE">
      <w:pPr>
        <w:jc w:val="both"/>
        <w:rPr>
          <w:rFonts w:ascii="Arial" w:eastAsia="Arial Unicode MS" w:hAnsi="Arial" w:cs="Arial"/>
          <w:sz w:val="22"/>
          <w:szCs w:val="22"/>
        </w:rPr>
      </w:pPr>
    </w:p>
    <w:p w14:paraId="3DEB276A" w14:textId="77777777" w:rsidR="00512C00" w:rsidRPr="00512C00" w:rsidRDefault="00512C00" w:rsidP="00CA4ABE">
      <w:pPr>
        <w:jc w:val="both"/>
        <w:rPr>
          <w:rFonts w:ascii="Arial" w:eastAsia="Arial Unicode MS" w:hAnsi="Arial" w:cs="Arial"/>
          <w:sz w:val="22"/>
          <w:szCs w:val="22"/>
        </w:rPr>
      </w:pPr>
    </w:p>
    <w:p w14:paraId="0153E75A" w14:textId="77777777" w:rsidR="00A90F70" w:rsidRPr="00B90F4E" w:rsidRDefault="00A90F70" w:rsidP="005D496E">
      <w:pPr>
        <w:pStyle w:val="Heading2"/>
        <w:numPr>
          <w:ilvl w:val="1"/>
          <w:numId w:val="11"/>
        </w:numPr>
      </w:pPr>
      <w:bookmarkStart w:id="23" w:name="_Toc17119796"/>
      <w:bookmarkStart w:id="24" w:name="_Toc17120067"/>
      <w:r w:rsidRPr="00B90F4E">
        <w:t>Calculation and Recognition of Impairment Loss</w:t>
      </w:r>
      <w:bookmarkEnd w:id="23"/>
      <w:bookmarkEnd w:id="24"/>
    </w:p>
    <w:p w14:paraId="0ADF1302" w14:textId="77777777" w:rsidR="00A90F70" w:rsidRPr="00A90F70" w:rsidRDefault="00A90F70" w:rsidP="004E751E">
      <w:pPr>
        <w:pStyle w:val="ListParagraph"/>
        <w:jc w:val="both"/>
        <w:rPr>
          <w:rFonts w:ascii="Arial" w:eastAsia="Arial Unicode MS" w:hAnsi="Arial" w:cs="Arial"/>
          <w:szCs w:val="22"/>
        </w:rPr>
      </w:pPr>
    </w:p>
    <w:p w14:paraId="2AE8E6C1" w14:textId="77777777" w:rsidR="00E53E66" w:rsidRDefault="00A90F70" w:rsidP="005D496E">
      <w:pPr>
        <w:pStyle w:val="ListParagraph"/>
        <w:numPr>
          <w:ilvl w:val="2"/>
          <w:numId w:val="9"/>
        </w:numPr>
        <w:ind w:left="851" w:hanging="851"/>
        <w:jc w:val="both"/>
        <w:rPr>
          <w:rFonts w:ascii="Arial" w:eastAsia="Arial Unicode MS" w:hAnsi="Arial" w:cs="Arial"/>
          <w:szCs w:val="22"/>
        </w:rPr>
      </w:pPr>
      <w:r w:rsidRPr="004E751E">
        <w:rPr>
          <w:rFonts w:ascii="Arial" w:eastAsia="Arial Unicode MS" w:hAnsi="Arial" w:cs="Arial"/>
          <w:szCs w:val="22"/>
        </w:rPr>
        <w:t xml:space="preserve">The impairment loss is calculated as the </w:t>
      </w:r>
      <w:r w:rsidR="00871473">
        <w:rPr>
          <w:rFonts w:ascii="Arial" w:eastAsia="Arial Unicode MS" w:hAnsi="Arial" w:cs="Arial"/>
          <w:szCs w:val="22"/>
        </w:rPr>
        <w:t>difference between the carrying-</w:t>
      </w:r>
      <w:r w:rsidRPr="004E751E">
        <w:rPr>
          <w:rFonts w:ascii="Arial" w:eastAsia="Arial Unicode MS" w:hAnsi="Arial" w:cs="Arial"/>
          <w:szCs w:val="22"/>
        </w:rPr>
        <w:t>value a</w:t>
      </w:r>
      <w:r w:rsidR="00883E67">
        <w:rPr>
          <w:rFonts w:ascii="Arial" w:eastAsia="Arial Unicode MS" w:hAnsi="Arial" w:cs="Arial"/>
          <w:szCs w:val="22"/>
        </w:rPr>
        <w:t xml:space="preserve">t reporting date less the </w:t>
      </w:r>
      <w:r w:rsidR="00E53E66">
        <w:rPr>
          <w:rFonts w:ascii="Arial" w:eastAsia="Arial Unicode MS" w:hAnsi="Arial" w:cs="Arial"/>
          <w:szCs w:val="22"/>
        </w:rPr>
        <w:t>present value of expected future cash flows.</w:t>
      </w:r>
    </w:p>
    <w:p w14:paraId="43E953D7" w14:textId="77777777" w:rsidR="00E53E66" w:rsidRDefault="00E53E66" w:rsidP="00E53E66">
      <w:pPr>
        <w:pStyle w:val="ListParagraph"/>
        <w:ind w:left="851"/>
        <w:jc w:val="both"/>
        <w:rPr>
          <w:rFonts w:ascii="Arial" w:eastAsia="Arial Unicode MS" w:hAnsi="Arial" w:cs="Arial"/>
          <w:szCs w:val="22"/>
        </w:rPr>
      </w:pPr>
    </w:p>
    <w:p w14:paraId="69423981" w14:textId="77777777" w:rsidR="00E53E66" w:rsidRDefault="00E53E66" w:rsidP="005D496E">
      <w:pPr>
        <w:pStyle w:val="ListParagraph"/>
        <w:numPr>
          <w:ilvl w:val="2"/>
          <w:numId w:val="9"/>
        </w:numPr>
        <w:ind w:left="851" w:hanging="851"/>
        <w:jc w:val="both"/>
        <w:rPr>
          <w:rFonts w:ascii="Arial" w:eastAsia="Arial Unicode MS" w:hAnsi="Arial" w:cs="Arial"/>
          <w:szCs w:val="22"/>
        </w:rPr>
      </w:pPr>
      <w:r>
        <w:rPr>
          <w:rFonts w:ascii="Arial" w:eastAsia="Arial Unicode MS" w:hAnsi="Arial" w:cs="Arial"/>
          <w:szCs w:val="22"/>
        </w:rPr>
        <w:t>The impairment loss is recognised i</w:t>
      </w:r>
      <w:r w:rsidRPr="00E53E66">
        <w:rPr>
          <w:rFonts w:ascii="Arial" w:eastAsia="Arial Unicode MS" w:hAnsi="Arial" w:cs="Arial"/>
          <w:szCs w:val="22"/>
        </w:rPr>
        <w:t>n the statemen</w:t>
      </w:r>
      <w:r>
        <w:rPr>
          <w:rFonts w:ascii="Arial" w:eastAsia="Arial Unicode MS" w:hAnsi="Arial" w:cs="Arial"/>
          <w:szCs w:val="22"/>
        </w:rPr>
        <w:t>t of financial performance as:</w:t>
      </w:r>
    </w:p>
    <w:p w14:paraId="2CA4FCA8" w14:textId="77777777" w:rsidR="00E53E66" w:rsidRPr="00E53E66" w:rsidRDefault="00E53E66" w:rsidP="00E53E66">
      <w:pPr>
        <w:pStyle w:val="ListParagraph"/>
        <w:rPr>
          <w:rFonts w:ascii="Arial" w:eastAsia="Arial Unicode MS" w:hAnsi="Arial" w:cs="Arial"/>
          <w:szCs w:val="22"/>
        </w:rPr>
      </w:pPr>
    </w:p>
    <w:p w14:paraId="507D76FF" w14:textId="5904C521" w:rsidR="00E53E66" w:rsidRPr="00E53E66" w:rsidRDefault="002F077B" w:rsidP="005D496E">
      <w:pPr>
        <w:pStyle w:val="ListParagraph"/>
        <w:numPr>
          <w:ilvl w:val="3"/>
          <w:numId w:val="9"/>
        </w:numPr>
        <w:tabs>
          <w:tab w:val="left" w:pos="851"/>
        </w:tabs>
        <w:ind w:left="851" w:hanging="851"/>
        <w:jc w:val="both"/>
        <w:rPr>
          <w:rFonts w:ascii="Arial" w:eastAsia="Arial Unicode MS" w:hAnsi="Arial" w:cs="Arial"/>
          <w:szCs w:val="22"/>
        </w:rPr>
      </w:pPr>
      <w:r>
        <w:rPr>
          <w:rFonts w:ascii="Arial" w:eastAsia="Arial Unicode MS" w:hAnsi="Arial" w:cs="Arial"/>
          <w:szCs w:val="22"/>
        </w:rPr>
        <w:t>A</w:t>
      </w:r>
      <w:r w:rsidR="00E53E66">
        <w:rPr>
          <w:rFonts w:ascii="Arial" w:eastAsia="Arial Unicode MS" w:hAnsi="Arial" w:cs="Arial"/>
          <w:szCs w:val="22"/>
        </w:rPr>
        <w:t xml:space="preserve">n </w:t>
      </w:r>
      <w:r w:rsidR="00E53E66" w:rsidRPr="00E53E66">
        <w:rPr>
          <w:rFonts w:ascii="Arial" w:eastAsia="Arial Unicode MS" w:hAnsi="Arial" w:cs="Arial"/>
          <w:szCs w:val="22"/>
        </w:rPr>
        <w:t xml:space="preserve">impairment loss where there’s an increase in the impairment balance at reporting date compared to the balance on the comparative reporting date; or </w:t>
      </w:r>
    </w:p>
    <w:p w14:paraId="784AF6CA" w14:textId="77777777" w:rsidR="00E53E66" w:rsidRDefault="00E53E66" w:rsidP="00E53E66">
      <w:pPr>
        <w:pStyle w:val="ListParagraph"/>
        <w:tabs>
          <w:tab w:val="left" w:pos="851"/>
        </w:tabs>
        <w:ind w:left="1080"/>
        <w:jc w:val="both"/>
        <w:rPr>
          <w:rFonts w:ascii="Arial" w:eastAsia="Arial Unicode MS" w:hAnsi="Arial" w:cs="Arial"/>
          <w:szCs w:val="22"/>
        </w:rPr>
      </w:pPr>
    </w:p>
    <w:p w14:paraId="6EEAA1A2" w14:textId="6FD4A5E7" w:rsidR="00E53E66" w:rsidRDefault="002F077B" w:rsidP="005D496E">
      <w:pPr>
        <w:pStyle w:val="ListParagraph"/>
        <w:numPr>
          <w:ilvl w:val="3"/>
          <w:numId w:val="9"/>
        </w:numPr>
        <w:tabs>
          <w:tab w:val="left" w:pos="851"/>
        </w:tabs>
        <w:ind w:left="851" w:hanging="851"/>
        <w:jc w:val="both"/>
        <w:rPr>
          <w:rFonts w:ascii="Arial" w:eastAsia="Arial Unicode MS" w:hAnsi="Arial" w:cs="Arial"/>
          <w:szCs w:val="22"/>
        </w:rPr>
      </w:pPr>
      <w:r>
        <w:rPr>
          <w:rFonts w:ascii="Arial" w:eastAsia="Arial Unicode MS" w:hAnsi="Arial" w:cs="Arial"/>
          <w:szCs w:val="22"/>
        </w:rPr>
        <w:t>A</w:t>
      </w:r>
      <w:r w:rsidR="00E53E66" w:rsidRPr="00E53E66">
        <w:rPr>
          <w:rFonts w:ascii="Arial" w:eastAsia="Arial Unicode MS" w:hAnsi="Arial" w:cs="Arial"/>
          <w:szCs w:val="22"/>
        </w:rPr>
        <w:t>s a reversal of impairment loss where there’</w:t>
      </w:r>
      <w:r w:rsidR="00E53E66">
        <w:rPr>
          <w:rFonts w:ascii="Arial" w:eastAsia="Arial Unicode MS" w:hAnsi="Arial" w:cs="Arial"/>
          <w:szCs w:val="22"/>
        </w:rPr>
        <w:t xml:space="preserve">s </w:t>
      </w:r>
      <w:r w:rsidR="005009BD">
        <w:rPr>
          <w:rFonts w:ascii="Arial" w:eastAsia="Arial Unicode MS" w:hAnsi="Arial" w:cs="Arial"/>
          <w:szCs w:val="22"/>
        </w:rPr>
        <w:t>a</w:t>
      </w:r>
      <w:r w:rsidR="00E53E66">
        <w:rPr>
          <w:rFonts w:ascii="Arial" w:eastAsia="Arial Unicode MS" w:hAnsi="Arial" w:cs="Arial"/>
          <w:szCs w:val="22"/>
        </w:rPr>
        <w:t xml:space="preserve"> de</w:t>
      </w:r>
      <w:r w:rsidR="00E53E66" w:rsidRPr="00E53E66">
        <w:rPr>
          <w:rFonts w:ascii="Arial" w:eastAsia="Arial Unicode MS" w:hAnsi="Arial" w:cs="Arial"/>
          <w:szCs w:val="22"/>
        </w:rPr>
        <w:t>crease in the impairment balance at reporting date compared to the balance on the comparative reporting date</w:t>
      </w:r>
      <w:r w:rsidR="00E53E66">
        <w:rPr>
          <w:rFonts w:ascii="Arial" w:eastAsia="Arial Unicode MS" w:hAnsi="Arial" w:cs="Arial"/>
          <w:szCs w:val="22"/>
        </w:rPr>
        <w:t>.</w:t>
      </w:r>
    </w:p>
    <w:p w14:paraId="3A47C69A" w14:textId="77777777" w:rsidR="00E53E66" w:rsidRPr="00E53E66" w:rsidRDefault="00E53E66" w:rsidP="00E53E66">
      <w:pPr>
        <w:pStyle w:val="ListParagraph"/>
        <w:rPr>
          <w:rFonts w:ascii="Arial" w:eastAsia="Arial Unicode MS" w:hAnsi="Arial" w:cs="Arial"/>
          <w:szCs w:val="22"/>
        </w:rPr>
      </w:pPr>
    </w:p>
    <w:p w14:paraId="6E9ADA6F" w14:textId="77777777" w:rsidR="00E53E66" w:rsidRPr="00E53E66" w:rsidRDefault="00E53E66" w:rsidP="003118A5">
      <w:pPr>
        <w:tabs>
          <w:tab w:val="left" w:pos="851"/>
        </w:tabs>
        <w:ind w:left="851" w:hanging="851"/>
        <w:jc w:val="both"/>
        <w:rPr>
          <w:rFonts w:ascii="Arial" w:eastAsia="Arial Unicode MS" w:hAnsi="Arial" w:cs="Arial"/>
          <w:sz w:val="22"/>
          <w:szCs w:val="22"/>
        </w:rPr>
      </w:pPr>
      <w:r>
        <w:rPr>
          <w:rFonts w:ascii="Arial" w:eastAsia="Arial Unicode MS" w:hAnsi="Arial" w:cs="Arial"/>
          <w:sz w:val="22"/>
          <w:szCs w:val="22"/>
        </w:rPr>
        <w:t>5.3.3</w:t>
      </w:r>
      <w:r>
        <w:rPr>
          <w:rFonts w:ascii="Arial" w:eastAsia="Arial Unicode MS" w:hAnsi="Arial" w:cs="Arial"/>
          <w:sz w:val="22"/>
          <w:szCs w:val="22"/>
        </w:rPr>
        <w:tab/>
        <w:t>The impairment is recognised in the statement of financial position as either a credit (increase) or debit (decrease) to the impairment allowance</w:t>
      </w:r>
      <w:r w:rsidR="003118A5">
        <w:rPr>
          <w:rFonts w:ascii="Arial" w:eastAsia="Arial Unicode MS" w:hAnsi="Arial" w:cs="Arial"/>
          <w:sz w:val="22"/>
          <w:szCs w:val="22"/>
        </w:rPr>
        <w:t xml:space="preserve"> account compared to the balance at the comparative reporting date.</w:t>
      </w:r>
    </w:p>
    <w:p w14:paraId="45BAC205" w14:textId="4587B345" w:rsidR="004E751E" w:rsidRDefault="004E751E" w:rsidP="004E751E">
      <w:pPr>
        <w:pStyle w:val="ListParagraph"/>
        <w:jc w:val="both"/>
        <w:rPr>
          <w:rFonts w:ascii="Arial" w:eastAsia="Arial Unicode MS" w:hAnsi="Arial" w:cs="Arial"/>
          <w:szCs w:val="22"/>
        </w:rPr>
      </w:pPr>
    </w:p>
    <w:p w14:paraId="28B210A9" w14:textId="77777777" w:rsidR="003118A5" w:rsidRDefault="003118A5" w:rsidP="003118A5">
      <w:pPr>
        <w:pStyle w:val="ListParagraph"/>
        <w:ind w:left="851"/>
        <w:jc w:val="both"/>
        <w:rPr>
          <w:rFonts w:ascii="Arial" w:eastAsia="Arial Unicode MS" w:hAnsi="Arial" w:cs="Arial"/>
          <w:b/>
          <w:szCs w:val="22"/>
        </w:rPr>
      </w:pPr>
    </w:p>
    <w:p w14:paraId="5235EAE0" w14:textId="77777777" w:rsidR="003F5795" w:rsidRPr="00B90F4E" w:rsidRDefault="003F5795" w:rsidP="005D496E">
      <w:pPr>
        <w:pStyle w:val="Heading2"/>
        <w:numPr>
          <w:ilvl w:val="1"/>
          <w:numId w:val="9"/>
        </w:numPr>
        <w:ind w:left="851" w:hanging="851"/>
      </w:pPr>
      <w:bookmarkStart w:id="25" w:name="_Toc17120068"/>
      <w:r w:rsidRPr="00B90F4E">
        <w:t>Individually Significant Receivables</w:t>
      </w:r>
      <w:bookmarkEnd w:id="25"/>
    </w:p>
    <w:p w14:paraId="79807826" w14:textId="77777777" w:rsidR="003F5795" w:rsidRDefault="003F5795" w:rsidP="003F5795">
      <w:pPr>
        <w:pStyle w:val="ListParagraph"/>
        <w:ind w:left="851"/>
        <w:jc w:val="both"/>
        <w:rPr>
          <w:rFonts w:ascii="Arial" w:eastAsia="Arial Unicode MS" w:hAnsi="Arial" w:cs="Arial"/>
          <w:szCs w:val="22"/>
        </w:rPr>
      </w:pPr>
    </w:p>
    <w:p w14:paraId="508E55C5" w14:textId="0297F5BB" w:rsidR="00A90F70" w:rsidRDefault="00A90F70" w:rsidP="005D496E">
      <w:pPr>
        <w:pStyle w:val="ListParagraph"/>
        <w:numPr>
          <w:ilvl w:val="2"/>
          <w:numId w:val="9"/>
        </w:numPr>
        <w:ind w:left="851" w:hanging="851"/>
        <w:jc w:val="both"/>
        <w:rPr>
          <w:rFonts w:ascii="Arial" w:eastAsia="Arial Unicode MS" w:hAnsi="Arial" w:cs="Arial"/>
          <w:szCs w:val="22"/>
        </w:rPr>
      </w:pPr>
      <w:r w:rsidRPr="004E751E">
        <w:rPr>
          <w:rFonts w:ascii="Arial" w:eastAsia="Arial Unicode MS" w:hAnsi="Arial" w:cs="Arial"/>
          <w:szCs w:val="22"/>
        </w:rPr>
        <w:t>Consumer receivables with a total balance ou</w:t>
      </w:r>
      <w:r w:rsidR="001E6881">
        <w:rPr>
          <w:rFonts w:ascii="Arial" w:eastAsia="Arial Unicode MS" w:hAnsi="Arial" w:cs="Arial"/>
          <w:szCs w:val="22"/>
        </w:rPr>
        <w:t xml:space="preserve">tstanding at reporting date </w:t>
      </w:r>
      <w:r w:rsidR="00676903">
        <w:rPr>
          <w:rFonts w:ascii="Arial" w:eastAsia="Arial Unicode MS" w:hAnsi="Arial" w:cs="Arial"/>
          <w:szCs w:val="22"/>
        </w:rPr>
        <w:t xml:space="preserve">in excess </w:t>
      </w:r>
      <w:r w:rsidR="001E6881">
        <w:rPr>
          <w:rFonts w:ascii="Arial" w:eastAsia="Arial Unicode MS" w:hAnsi="Arial" w:cs="Arial"/>
          <w:szCs w:val="22"/>
        </w:rPr>
        <w:t xml:space="preserve">of </w:t>
      </w:r>
      <w:r w:rsidRPr="00512C00">
        <w:rPr>
          <w:rFonts w:ascii="Arial" w:eastAsia="Arial Unicode MS" w:hAnsi="Arial" w:cs="Arial"/>
          <w:b/>
          <w:szCs w:val="22"/>
          <w:u w:val="single"/>
        </w:rPr>
        <w:t>R1</w:t>
      </w:r>
      <w:r w:rsidR="00E53E66">
        <w:rPr>
          <w:rFonts w:ascii="Arial" w:eastAsia="Arial Unicode MS" w:hAnsi="Arial" w:cs="Arial"/>
          <w:b/>
          <w:szCs w:val="22"/>
          <w:u w:val="single"/>
        </w:rPr>
        <w:t xml:space="preserve"> </w:t>
      </w:r>
      <w:r w:rsidR="004E751E" w:rsidRPr="00512C00">
        <w:rPr>
          <w:rFonts w:ascii="Arial" w:eastAsia="Arial Unicode MS" w:hAnsi="Arial" w:cs="Arial"/>
          <w:b/>
          <w:szCs w:val="22"/>
          <w:u w:val="single"/>
        </w:rPr>
        <w:t>000 </w:t>
      </w:r>
      <w:r w:rsidRPr="00512C00">
        <w:rPr>
          <w:rFonts w:ascii="Arial" w:eastAsia="Arial Unicode MS" w:hAnsi="Arial" w:cs="Arial"/>
          <w:b/>
          <w:szCs w:val="22"/>
          <w:u w:val="single"/>
        </w:rPr>
        <w:t>000</w:t>
      </w:r>
      <w:r w:rsidR="004E751E" w:rsidRPr="00512C00">
        <w:rPr>
          <w:rFonts w:ascii="Arial" w:eastAsia="Arial Unicode MS" w:hAnsi="Arial" w:cs="Arial"/>
          <w:b/>
          <w:szCs w:val="22"/>
          <w:u w:val="single"/>
        </w:rPr>
        <w:t>,00</w:t>
      </w:r>
      <w:r w:rsidRPr="004E751E">
        <w:rPr>
          <w:rFonts w:ascii="Arial" w:eastAsia="Arial Unicode MS" w:hAnsi="Arial" w:cs="Arial"/>
          <w:szCs w:val="22"/>
        </w:rPr>
        <w:t xml:space="preserve"> is considered material and will be assessed individually for evidence of impairment.</w:t>
      </w:r>
      <w:r w:rsidR="00FF0330">
        <w:rPr>
          <w:rFonts w:ascii="Arial" w:eastAsia="Arial Unicode MS" w:hAnsi="Arial" w:cs="Arial"/>
          <w:szCs w:val="22"/>
        </w:rPr>
        <w:t xml:space="preserve"> Management must maintain evidence of </w:t>
      </w:r>
      <w:r w:rsidR="00AC67C2">
        <w:rPr>
          <w:rFonts w:ascii="Arial" w:eastAsia="Arial Unicode MS" w:hAnsi="Arial" w:cs="Arial"/>
          <w:szCs w:val="22"/>
        </w:rPr>
        <w:t xml:space="preserve">determination of </w:t>
      </w:r>
      <w:r w:rsidR="00FF0330">
        <w:rPr>
          <w:rFonts w:ascii="Arial" w:eastAsia="Arial Unicode MS" w:hAnsi="Arial" w:cs="Arial"/>
          <w:szCs w:val="22"/>
        </w:rPr>
        <w:t xml:space="preserve">recoverability </w:t>
      </w:r>
      <w:r w:rsidR="00AC67C2">
        <w:rPr>
          <w:rFonts w:ascii="Arial" w:eastAsia="Arial Unicode MS" w:hAnsi="Arial" w:cs="Arial"/>
          <w:szCs w:val="22"/>
        </w:rPr>
        <w:t xml:space="preserve">or impairment </w:t>
      </w:r>
      <w:r w:rsidR="00FF0330">
        <w:rPr>
          <w:rFonts w:ascii="Arial" w:eastAsia="Arial Unicode MS" w:hAnsi="Arial" w:cs="Arial"/>
          <w:szCs w:val="22"/>
        </w:rPr>
        <w:t>for these receivables.</w:t>
      </w:r>
    </w:p>
    <w:p w14:paraId="7F7D4C17" w14:textId="6D0AB35B" w:rsidR="00027F00" w:rsidRDefault="00027F00" w:rsidP="00027F00">
      <w:pPr>
        <w:pStyle w:val="ListParagraph"/>
        <w:ind w:left="525"/>
        <w:jc w:val="both"/>
        <w:rPr>
          <w:rFonts w:ascii="Arial" w:eastAsia="Arial Unicode MS" w:hAnsi="Arial" w:cs="Arial"/>
          <w:szCs w:val="22"/>
        </w:rPr>
      </w:pPr>
    </w:p>
    <w:p w14:paraId="4E8FABC2" w14:textId="32FC38D0" w:rsidR="00AC67C2" w:rsidRDefault="00AC67C2" w:rsidP="008B7D90">
      <w:pPr>
        <w:pStyle w:val="ListParagraph"/>
        <w:numPr>
          <w:ilvl w:val="2"/>
          <w:numId w:val="9"/>
        </w:numPr>
        <w:ind w:left="851" w:hanging="851"/>
        <w:jc w:val="both"/>
        <w:rPr>
          <w:rFonts w:ascii="Arial" w:eastAsia="Arial Unicode MS" w:hAnsi="Arial" w:cs="Arial"/>
          <w:szCs w:val="22"/>
        </w:rPr>
      </w:pPr>
      <w:r>
        <w:rPr>
          <w:rFonts w:ascii="Arial" w:eastAsia="Arial Unicode MS" w:hAnsi="Arial" w:cs="Arial"/>
          <w:szCs w:val="22"/>
        </w:rPr>
        <w:t xml:space="preserve">Where a debtor is both Indigent with a balance in excess of </w:t>
      </w:r>
      <w:r w:rsidRPr="0001024E">
        <w:rPr>
          <w:rFonts w:ascii="Arial" w:eastAsia="Arial Unicode MS" w:hAnsi="Arial" w:cs="Arial"/>
          <w:b/>
          <w:szCs w:val="22"/>
        </w:rPr>
        <w:t>R1</w:t>
      </w:r>
      <w:r w:rsidR="0001024E" w:rsidRPr="0001024E">
        <w:rPr>
          <w:rFonts w:ascii="Arial" w:eastAsia="Arial Unicode MS" w:hAnsi="Arial" w:cs="Arial"/>
          <w:b/>
          <w:szCs w:val="22"/>
        </w:rPr>
        <w:t xml:space="preserve"> </w:t>
      </w:r>
      <w:r w:rsidRPr="0001024E">
        <w:rPr>
          <w:rFonts w:ascii="Arial" w:eastAsia="Arial Unicode MS" w:hAnsi="Arial" w:cs="Arial"/>
          <w:b/>
          <w:szCs w:val="22"/>
        </w:rPr>
        <w:t>000 000</w:t>
      </w:r>
      <w:r>
        <w:rPr>
          <w:rFonts w:ascii="Arial" w:eastAsia="Arial Unicode MS" w:hAnsi="Arial" w:cs="Arial"/>
          <w:szCs w:val="22"/>
        </w:rPr>
        <w:t xml:space="preserve"> at reporting date, the Indigent status prevails in the calculation of impairment.</w:t>
      </w:r>
    </w:p>
    <w:p w14:paraId="04DD1348" w14:textId="77777777" w:rsidR="00512C00" w:rsidRDefault="00512C00" w:rsidP="00027F00">
      <w:pPr>
        <w:pStyle w:val="ListParagraph"/>
        <w:ind w:left="525"/>
        <w:jc w:val="both"/>
        <w:rPr>
          <w:rFonts w:ascii="Arial" w:eastAsia="Arial Unicode MS" w:hAnsi="Arial" w:cs="Arial"/>
          <w:szCs w:val="22"/>
        </w:rPr>
      </w:pPr>
    </w:p>
    <w:p w14:paraId="30396DA0" w14:textId="467FF1F6" w:rsidR="00012647" w:rsidRDefault="00012647" w:rsidP="00027F00">
      <w:pPr>
        <w:pStyle w:val="ListParagraph"/>
        <w:ind w:left="525"/>
        <w:jc w:val="both"/>
        <w:rPr>
          <w:rFonts w:ascii="Arial" w:eastAsia="Arial Unicode MS" w:hAnsi="Arial" w:cs="Arial"/>
          <w:szCs w:val="22"/>
        </w:rPr>
      </w:pPr>
    </w:p>
    <w:p w14:paraId="357233F3" w14:textId="776343EF" w:rsidR="002F077B" w:rsidRDefault="002F077B" w:rsidP="00027F00">
      <w:pPr>
        <w:pStyle w:val="ListParagraph"/>
        <w:ind w:left="525"/>
        <w:jc w:val="both"/>
        <w:rPr>
          <w:rFonts w:ascii="Arial" w:eastAsia="Arial Unicode MS" w:hAnsi="Arial" w:cs="Arial"/>
          <w:szCs w:val="22"/>
        </w:rPr>
      </w:pPr>
    </w:p>
    <w:p w14:paraId="36320F9A" w14:textId="6A518A87" w:rsidR="002F077B" w:rsidRDefault="002F077B" w:rsidP="00027F00">
      <w:pPr>
        <w:pStyle w:val="ListParagraph"/>
        <w:ind w:left="525"/>
        <w:jc w:val="both"/>
        <w:rPr>
          <w:rFonts w:ascii="Arial" w:eastAsia="Arial Unicode MS" w:hAnsi="Arial" w:cs="Arial"/>
          <w:szCs w:val="22"/>
        </w:rPr>
      </w:pPr>
    </w:p>
    <w:p w14:paraId="553C5647" w14:textId="6C514455" w:rsidR="002F077B" w:rsidRDefault="002F077B" w:rsidP="00027F00">
      <w:pPr>
        <w:pStyle w:val="ListParagraph"/>
        <w:ind w:left="525"/>
        <w:jc w:val="both"/>
        <w:rPr>
          <w:rFonts w:ascii="Arial" w:eastAsia="Arial Unicode MS" w:hAnsi="Arial" w:cs="Arial"/>
          <w:szCs w:val="22"/>
        </w:rPr>
      </w:pPr>
    </w:p>
    <w:p w14:paraId="04B76FD0" w14:textId="04F44633" w:rsidR="002F077B" w:rsidRDefault="002F077B" w:rsidP="00027F00">
      <w:pPr>
        <w:pStyle w:val="ListParagraph"/>
        <w:ind w:left="525"/>
        <w:jc w:val="both"/>
        <w:rPr>
          <w:rFonts w:ascii="Arial" w:eastAsia="Arial Unicode MS" w:hAnsi="Arial" w:cs="Arial"/>
          <w:szCs w:val="22"/>
        </w:rPr>
      </w:pPr>
    </w:p>
    <w:p w14:paraId="2A35D417" w14:textId="77777777" w:rsidR="002F077B" w:rsidRDefault="002F077B" w:rsidP="00027F00">
      <w:pPr>
        <w:pStyle w:val="ListParagraph"/>
        <w:ind w:left="525"/>
        <w:jc w:val="both"/>
        <w:rPr>
          <w:rFonts w:ascii="Arial" w:eastAsia="Arial Unicode MS" w:hAnsi="Arial" w:cs="Arial"/>
          <w:szCs w:val="22"/>
        </w:rPr>
      </w:pPr>
    </w:p>
    <w:p w14:paraId="262F5D02" w14:textId="77777777" w:rsidR="00A90F70" w:rsidRPr="00676903" w:rsidRDefault="00A90F70" w:rsidP="005D496E">
      <w:pPr>
        <w:pStyle w:val="Heading2"/>
        <w:numPr>
          <w:ilvl w:val="1"/>
          <w:numId w:val="9"/>
        </w:numPr>
        <w:ind w:left="851" w:hanging="851"/>
      </w:pPr>
      <w:bookmarkStart w:id="26" w:name="_Toc17119797"/>
      <w:bookmarkStart w:id="27" w:name="_Toc17120069"/>
      <w:r w:rsidRPr="00676903">
        <w:lastRenderedPageBreak/>
        <w:t>Risk Categories</w:t>
      </w:r>
      <w:bookmarkEnd w:id="26"/>
      <w:bookmarkEnd w:id="27"/>
    </w:p>
    <w:p w14:paraId="020FCCF4" w14:textId="77777777" w:rsidR="00A90F70" w:rsidRPr="00A90F70" w:rsidRDefault="00A90F70" w:rsidP="004E751E">
      <w:pPr>
        <w:pStyle w:val="ListParagraph"/>
        <w:ind w:left="525"/>
        <w:jc w:val="both"/>
        <w:rPr>
          <w:rFonts w:ascii="Arial" w:eastAsia="Arial Unicode MS" w:hAnsi="Arial" w:cs="Arial"/>
          <w:szCs w:val="22"/>
        </w:rPr>
      </w:pPr>
    </w:p>
    <w:p w14:paraId="33365B19" w14:textId="77777777" w:rsidR="00A90F70" w:rsidRPr="004E751E" w:rsidRDefault="00A90F70" w:rsidP="005D496E">
      <w:pPr>
        <w:pStyle w:val="ListParagraph"/>
        <w:numPr>
          <w:ilvl w:val="2"/>
          <w:numId w:val="9"/>
        </w:numPr>
        <w:ind w:left="851" w:hanging="851"/>
        <w:jc w:val="both"/>
        <w:rPr>
          <w:rFonts w:ascii="Arial" w:eastAsia="Arial Unicode MS" w:hAnsi="Arial" w:cs="Arial"/>
          <w:szCs w:val="22"/>
        </w:rPr>
      </w:pPr>
      <w:r w:rsidRPr="004E751E">
        <w:rPr>
          <w:rFonts w:ascii="Arial" w:eastAsia="Arial Unicode MS" w:hAnsi="Arial" w:cs="Arial"/>
          <w:szCs w:val="22"/>
        </w:rPr>
        <w:t>All receivables are categorised into one of three risk categories. These categories are:</w:t>
      </w:r>
    </w:p>
    <w:p w14:paraId="4751993D" w14:textId="77777777" w:rsidR="00A90F70" w:rsidRPr="00A90F70" w:rsidRDefault="00A90F70" w:rsidP="004E751E">
      <w:pPr>
        <w:pStyle w:val="ListParagraph"/>
        <w:ind w:left="525"/>
        <w:jc w:val="both"/>
        <w:rPr>
          <w:rFonts w:ascii="Arial" w:eastAsia="Arial Unicode MS" w:hAnsi="Arial" w:cs="Arial"/>
          <w:szCs w:val="22"/>
        </w:rPr>
      </w:pPr>
    </w:p>
    <w:p w14:paraId="20708AC2" w14:textId="77777777" w:rsidR="00A90F70" w:rsidRDefault="00A90F70" w:rsidP="005D496E">
      <w:pPr>
        <w:pStyle w:val="ListParagraph"/>
        <w:numPr>
          <w:ilvl w:val="3"/>
          <w:numId w:val="9"/>
        </w:numPr>
        <w:ind w:left="851" w:hanging="851"/>
        <w:jc w:val="both"/>
        <w:rPr>
          <w:rFonts w:ascii="Arial" w:eastAsia="Arial Unicode MS" w:hAnsi="Arial" w:cs="Arial"/>
          <w:szCs w:val="22"/>
        </w:rPr>
      </w:pPr>
      <w:r w:rsidRPr="004E751E">
        <w:rPr>
          <w:rFonts w:ascii="Arial" w:eastAsia="Arial Unicode MS" w:hAnsi="Arial" w:cs="Arial"/>
          <w:szCs w:val="22"/>
        </w:rPr>
        <w:t>High risk category;</w:t>
      </w:r>
    </w:p>
    <w:p w14:paraId="188806E7" w14:textId="77777777" w:rsidR="00CF41A8" w:rsidRPr="004E751E" w:rsidRDefault="00CF41A8" w:rsidP="00CF41A8">
      <w:pPr>
        <w:pStyle w:val="ListParagraph"/>
        <w:ind w:left="851"/>
        <w:jc w:val="both"/>
        <w:rPr>
          <w:rFonts w:ascii="Arial" w:eastAsia="Arial Unicode MS" w:hAnsi="Arial" w:cs="Arial"/>
          <w:szCs w:val="22"/>
        </w:rPr>
      </w:pPr>
    </w:p>
    <w:p w14:paraId="357D77E7" w14:textId="77777777" w:rsidR="00A90F70" w:rsidRDefault="00A90F70" w:rsidP="005D496E">
      <w:pPr>
        <w:pStyle w:val="ListParagraph"/>
        <w:numPr>
          <w:ilvl w:val="3"/>
          <w:numId w:val="9"/>
        </w:numPr>
        <w:ind w:left="851" w:hanging="851"/>
        <w:jc w:val="both"/>
        <w:rPr>
          <w:rFonts w:ascii="Arial" w:eastAsia="Arial Unicode MS" w:hAnsi="Arial" w:cs="Arial"/>
          <w:szCs w:val="22"/>
        </w:rPr>
      </w:pPr>
      <w:r w:rsidRPr="00CF41A8">
        <w:rPr>
          <w:rFonts w:ascii="Arial" w:eastAsia="Arial Unicode MS" w:hAnsi="Arial" w:cs="Arial"/>
          <w:szCs w:val="22"/>
        </w:rPr>
        <w:t>Medium risk category; and</w:t>
      </w:r>
    </w:p>
    <w:p w14:paraId="296DA44C" w14:textId="77777777" w:rsidR="00CF41A8" w:rsidRPr="00CF41A8" w:rsidRDefault="00CF41A8" w:rsidP="00CF41A8">
      <w:pPr>
        <w:pStyle w:val="ListParagraph"/>
        <w:rPr>
          <w:rFonts w:ascii="Arial" w:eastAsia="Arial Unicode MS" w:hAnsi="Arial" w:cs="Arial"/>
          <w:szCs w:val="22"/>
        </w:rPr>
      </w:pPr>
    </w:p>
    <w:p w14:paraId="6E44C71B" w14:textId="77777777" w:rsidR="00A90F70" w:rsidRPr="00CF41A8" w:rsidRDefault="00A90F70" w:rsidP="005D496E">
      <w:pPr>
        <w:pStyle w:val="ListParagraph"/>
        <w:numPr>
          <w:ilvl w:val="3"/>
          <w:numId w:val="9"/>
        </w:numPr>
        <w:ind w:left="851" w:hanging="851"/>
        <w:jc w:val="both"/>
        <w:rPr>
          <w:rFonts w:ascii="Arial" w:eastAsia="Arial Unicode MS" w:hAnsi="Arial" w:cs="Arial"/>
          <w:szCs w:val="22"/>
        </w:rPr>
      </w:pPr>
      <w:r w:rsidRPr="00CF41A8">
        <w:rPr>
          <w:rFonts w:ascii="Arial" w:eastAsia="Arial Unicode MS" w:hAnsi="Arial" w:cs="Arial"/>
          <w:szCs w:val="22"/>
        </w:rPr>
        <w:t>Low risk category.</w:t>
      </w:r>
    </w:p>
    <w:p w14:paraId="5F974C4B" w14:textId="77777777" w:rsidR="00A90F70" w:rsidRPr="00A90F70" w:rsidRDefault="00A90F70" w:rsidP="00CF41A8">
      <w:pPr>
        <w:pStyle w:val="ListParagraph"/>
        <w:ind w:left="525"/>
        <w:jc w:val="both"/>
        <w:rPr>
          <w:rFonts w:ascii="Arial" w:eastAsia="Arial Unicode MS" w:hAnsi="Arial" w:cs="Arial"/>
          <w:szCs w:val="22"/>
        </w:rPr>
      </w:pPr>
    </w:p>
    <w:p w14:paraId="4A56D241" w14:textId="779E5EA1" w:rsidR="00A90F70" w:rsidRPr="00CF41A8" w:rsidRDefault="00A90F70" w:rsidP="005D496E">
      <w:pPr>
        <w:pStyle w:val="ListParagraph"/>
        <w:numPr>
          <w:ilvl w:val="2"/>
          <w:numId w:val="9"/>
        </w:numPr>
        <w:ind w:left="851" w:hanging="851"/>
        <w:jc w:val="both"/>
        <w:rPr>
          <w:rFonts w:ascii="Arial" w:eastAsia="Arial Unicode MS" w:hAnsi="Arial" w:cs="Arial"/>
          <w:szCs w:val="22"/>
        </w:rPr>
      </w:pPr>
      <w:r w:rsidRPr="00CF41A8">
        <w:rPr>
          <w:rFonts w:ascii="Arial" w:eastAsia="Arial Unicode MS" w:hAnsi="Arial" w:cs="Arial"/>
          <w:szCs w:val="22"/>
        </w:rPr>
        <w:t>The allocation of receivables into the different risk categories are reviewed</w:t>
      </w:r>
      <w:r w:rsidR="00F335A8">
        <w:rPr>
          <w:rFonts w:ascii="Arial" w:eastAsia="Arial Unicode MS" w:hAnsi="Arial" w:cs="Arial"/>
          <w:szCs w:val="22"/>
        </w:rPr>
        <w:t xml:space="preserve"> at every point of impairment determination per the management standard operating procedures</w:t>
      </w:r>
      <w:r w:rsidRPr="00CF41A8">
        <w:rPr>
          <w:rFonts w:ascii="Arial" w:eastAsia="Arial Unicode MS" w:hAnsi="Arial" w:cs="Arial"/>
          <w:szCs w:val="22"/>
        </w:rPr>
        <w:t>.</w:t>
      </w:r>
    </w:p>
    <w:p w14:paraId="7FCCEEDC" w14:textId="77777777" w:rsidR="00512C00" w:rsidRDefault="00512C00" w:rsidP="00512C00">
      <w:pPr>
        <w:pStyle w:val="Heading2"/>
        <w:numPr>
          <w:ilvl w:val="0"/>
          <w:numId w:val="0"/>
        </w:numPr>
        <w:ind w:left="851"/>
      </w:pPr>
      <w:bookmarkStart w:id="28" w:name="_Hlk46219527"/>
    </w:p>
    <w:p w14:paraId="73F479A9" w14:textId="77777777" w:rsidR="00A90F70" w:rsidRPr="00E075A3" w:rsidRDefault="00E075A3" w:rsidP="00E075A3">
      <w:pPr>
        <w:tabs>
          <w:tab w:val="left" w:pos="851"/>
        </w:tabs>
        <w:rPr>
          <w:rFonts w:ascii="Arial" w:eastAsia="Arial Unicode MS" w:hAnsi="Arial" w:cs="Arial"/>
          <w:sz w:val="22"/>
          <w:szCs w:val="22"/>
        </w:rPr>
      </w:pPr>
      <w:r>
        <w:rPr>
          <w:rFonts w:ascii="Arial" w:eastAsia="Arial Unicode MS" w:hAnsi="Arial" w:cs="Arial"/>
          <w:sz w:val="22"/>
          <w:szCs w:val="22"/>
        </w:rPr>
        <w:t>5.5.3</w:t>
      </w:r>
      <w:r>
        <w:rPr>
          <w:rFonts w:ascii="Arial" w:eastAsia="Arial Unicode MS" w:hAnsi="Arial" w:cs="Arial"/>
          <w:sz w:val="22"/>
          <w:szCs w:val="22"/>
        </w:rPr>
        <w:tab/>
      </w:r>
      <w:r w:rsidR="00692583">
        <w:rPr>
          <w:rFonts w:ascii="Arial" w:eastAsia="Arial Unicode MS" w:hAnsi="Arial" w:cs="Arial"/>
          <w:b/>
          <w:sz w:val="22"/>
          <w:szCs w:val="22"/>
        </w:rPr>
        <w:t>Consumer R</w:t>
      </w:r>
      <w:r w:rsidR="00A90F70" w:rsidRPr="00692583">
        <w:rPr>
          <w:rFonts w:ascii="Arial" w:eastAsia="Arial Unicode MS" w:hAnsi="Arial" w:cs="Arial"/>
          <w:b/>
          <w:sz w:val="22"/>
          <w:szCs w:val="22"/>
        </w:rPr>
        <w:t>eceivables</w:t>
      </w:r>
    </w:p>
    <w:p w14:paraId="04EC3F76" w14:textId="77777777" w:rsidR="00A90F70" w:rsidRPr="00E075A3" w:rsidRDefault="00A90F70" w:rsidP="00E075A3">
      <w:pPr>
        <w:rPr>
          <w:rFonts w:ascii="Arial" w:eastAsia="Arial Unicode MS" w:hAnsi="Arial" w:cs="Arial"/>
          <w:sz w:val="22"/>
          <w:szCs w:val="22"/>
        </w:rPr>
      </w:pPr>
    </w:p>
    <w:p w14:paraId="764B371B" w14:textId="77777777" w:rsidR="00A90F70" w:rsidRPr="00A84417" w:rsidRDefault="00E075A3" w:rsidP="00406BED">
      <w:pPr>
        <w:ind w:left="851" w:hanging="851"/>
        <w:jc w:val="both"/>
        <w:rPr>
          <w:rFonts w:ascii="Arial" w:eastAsia="Arial Unicode MS" w:hAnsi="Arial" w:cs="Arial"/>
          <w:sz w:val="22"/>
          <w:szCs w:val="22"/>
        </w:rPr>
      </w:pPr>
      <w:bookmarkStart w:id="29" w:name="OLE_LINK4"/>
      <w:r>
        <w:rPr>
          <w:rFonts w:ascii="Arial" w:eastAsia="Arial Unicode MS" w:hAnsi="Arial" w:cs="Arial"/>
          <w:sz w:val="22"/>
          <w:szCs w:val="22"/>
        </w:rPr>
        <w:t>5.5.3</w:t>
      </w:r>
      <w:r w:rsidR="00CF41A8" w:rsidRPr="00A84417">
        <w:rPr>
          <w:rFonts w:ascii="Arial" w:eastAsia="Arial Unicode MS" w:hAnsi="Arial" w:cs="Arial"/>
          <w:sz w:val="22"/>
          <w:szCs w:val="22"/>
        </w:rPr>
        <w:t>.1</w:t>
      </w:r>
      <w:r w:rsidR="00CF41A8" w:rsidRPr="00A84417">
        <w:rPr>
          <w:rFonts w:ascii="Arial" w:eastAsia="Arial Unicode MS" w:hAnsi="Arial" w:cs="Arial"/>
          <w:sz w:val="22"/>
          <w:szCs w:val="22"/>
        </w:rPr>
        <w:tab/>
      </w:r>
      <w:r w:rsidR="00A90F70" w:rsidRPr="00A84417">
        <w:rPr>
          <w:rFonts w:ascii="Arial" w:eastAsia="Arial Unicode MS" w:hAnsi="Arial" w:cs="Arial"/>
          <w:sz w:val="22"/>
          <w:szCs w:val="22"/>
        </w:rPr>
        <w:t xml:space="preserve">The following </w:t>
      </w:r>
      <w:r w:rsidR="00512C00">
        <w:rPr>
          <w:rFonts w:ascii="Arial" w:eastAsia="Arial Unicode MS" w:hAnsi="Arial" w:cs="Arial"/>
          <w:sz w:val="22"/>
          <w:szCs w:val="22"/>
        </w:rPr>
        <w:t xml:space="preserve">consumer </w:t>
      </w:r>
      <w:r w:rsidR="00A90F70" w:rsidRPr="00A84417">
        <w:rPr>
          <w:rFonts w:ascii="Arial" w:eastAsia="Arial Unicode MS" w:hAnsi="Arial" w:cs="Arial"/>
          <w:sz w:val="22"/>
          <w:szCs w:val="22"/>
        </w:rPr>
        <w:t xml:space="preserve">receivables are specifically identified as being </w:t>
      </w:r>
      <w:r w:rsidR="00A90F70" w:rsidRPr="001E6881">
        <w:rPr>
          <w:rFonts w:ascii="Arial" w:eastAsia="Arial Unicode MS" w:hAnsi="Arial" w:cs="Arial"/>
          <w:b/>
          <w:sz w:val="22"/>
          <w:szCs w:val="22"/>
        </w:rPr>
        <w:t>high risk</w:t>
      </w:r>
      <w:r w:rsidR="00A90F70" w:rsidRPr="00A84417">
        <w:rPr>
          <w:rFonts w:ascii="Arial" w:eastAsia="Arial Unicode MS" w:hAnsi="Arial" w:cs="Arial"/>
          <w:sz w:val="22"/>
          <w:szCs w:val="22"/>
        </w:rPr>
        <w:t xml:space="preserve"> due to their nature:</w:t>
      </w:r>
    </w:p>
    <w:bookmarkEnd w:id="28"/>
    <w:p w14:paraId="3E8DEB37" w14:textId="77777777" w:rsidR="00A90F70" w:rsidRPr="00A84417" w:rsidRDefault="00A90F70" w:rsidP="00587EB4">
      <w:pPr>
        <w:pStyle w:val="ListParagraph"/>
        <w:ind w:left="525"/>
        <w:jc w:val="both"/>
        <w:rPr>
          <w:rFonts w:ascii="Arial" w:eastAsia="Arial Unicode MS" w:hAnsi="Arial" w:cs="Arial"/>
          <w:szCs w:val="22"/>
        </w:rPr>
      </w:pPr>
    </w:p>
    <w:p w14:paraId="65855FBD" w14:textId="5765A4FB" w:rsidR="00A90F70" w:rsidRDefault="00CF41A8" w:rsidP="00587EB4">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 xml:space="preserve">Accounts with balances of </w:t>
      </w:r>
      <w:r w:rsidR="00957DCE">
        <w:rPr>
          <w:rFonts w:ascii="Arial" w:eastAsia="Arial Unicode MS" w:hAnsi="Arial" w:cs="Arial"/>
          <w:szCs w:val="22"/>
        </w:rPr>
        <w:t>90</w:t>
      </w:r>
      <w:r w:rsidRPr="00871473">
        <w:rPr>
          <w:rFonts w:ascii="Arial" w:eastAsia="Arial Unicode MS" w:hAnsi="Arial" w:cs="Arial"/>
          <w:szCs w:val="22"/>
        </w:rPr>
        <w:t xml:space="preserve"> days and more</w:t>
      </w:r>
      <w:r w:rsidR="00871473">
        <w:rPr>
          <w:rFonts w:ascii="Arial" w:eastAsia="Arial Unicode MS" w:hAnsi="Arial" w:cs="Arial"/>
          <w:szCs w:val="22"/>
        </w:rPr>
        <w:t>.</w:t>
      </w:r>
    </w:p>
    <w:p w14:paraId="71770806" w14:textId="006E5446" w:rsidR="002F077B" w:rsidRDefault="002F077B" w:rsidP="002F077B">
      <w:pPr>
        <w:pStyle w:val="ListParagraph"/>
        <w:numPr>
          <w:ilvl w:val="0"/>
          <w:numId w:val="15"/>
        </w:numPr>
        <w:ind w:left="1134" w:hanging="283"/>
        <w:jc w:val="both"/>
        <w:rPr>
          <w:rFonts w:ascii="Arial" w:eastAsia="Arial Unicode MS" w:hAnsi="Arial" w:cs="Arial"/>
          <w:szCs w:val="22"/>
        </w:rPr>
      </w:pPr>
      <w:r w:rsidRPr="002F077B">
        <w:rPr>
          <w:rFonts w:ascii="Arial" w:eastAsia="Arial Unicode MS" w:hAnsi="Arial" w:cs="Arial"/>
          <w:szCs w:val="22"/>
        </w:rPr>
        <w:t>Indigent Debtor Accounts that are outstanding for more than 31 days</w:t>
      </w:r>
    </w:p>
    <w:p w14:paraId="23A3ABB1" w14:textId="060047D2" w:rsidR="002F077B" w:rsidRPr="00871473" w:rsidRDefault="002F077B" w:rsidP="002F077B">
      <w:pPr>
        <w:pStyle w:val="ListParagraph"/>
        <w:numPr>
          <w:ilvl w:val="0"/>
          <w:numId w:val="15"/>
        </w:numPr>
        <w:ind w:left="1134" w:hanging="283"/>
        <w:jc w:val="both"/>
        <w:rPr>
          <w:rFonts w:ascii="Arial" w:eastAsia="Arial Unicode MS" w:hAnsi="Arial" w:cs="Arial"/>
          <w:szCs w:val="22"/>
        </w:rPr>
      </w:pPr>
      <w:r>
        <w:rPr>
          <w:rFonts w:ascii="Arial" w:eastAsia="Arial Unicode MS" w:hAnsi="Arial" w:cs="Arial"/>
          <w:szCs w:val="22"/>
        </w:rPr>
        <w:t xml:space="preserve">Deceased </w:t>
      </w:r>
      <w:r w:rsidRPr="002F077B">
        <w:rPr>
          <w:rFonts w:ascii="Arial" w:eastAsia="Arial Unicode MS" w:hAnsi="Arial" w:cs="Arial"/>
          <w:szCs w:val="22"/>
        </w:rPr>
        <w:t>Debtor Accounts that are outstanding for more than 31 days</w:t>
      </w:r>
    </w:p>
    <w:bookmarkEnd w:id="29"/>
    <w:p w14:paraId="48B6CFCB" w14:textId="77777777" w:rsidR="00CF41A8" w:rsidRPr="00A84417" w:rsidRDefault="00CF41A8" w:rsidP="00587EB4">
      <w:pPr>
        <w:pStyle w:val="ListParagraph"/>
        <w:ind w:left="851"/>
        <w:jc w:val="both"/>
        <w:rPr>
          <w:rFonts w:ascii="Arial" w:eastAsia="Arial Unicode MS" w:hAnsi="Arial" w:cs="Arial"/>
          <w:szCs w:val="22"/>
        </w:rPr>
      </w:pPr>
    </w:p>
    <w:p w14:paraId="284E7B6F" w14:textId="77777777" w:rsidR="00A90F70" w:rsidRPr="00E075A3" w:rsidRDefault="00E075A3" w:rsidP="00587EB4">
      <w:pPr>
        <w:tabs>
          <w:tab w:val="left" w:pos="851"/>
        </w:tabs>
        <w:ind w:left="851" w:hanging="851"/>
        <w:jc w:val="both"/>
        <w:rPr>
          <w:rFonts w:ascii="Arial" w:eastAsia="Arial Unicode MS" w:hAnsi="Arial" w:cs="Arial"/>
          <w:sz w:val="22"/>
          <w:szCs w:val="22"/>
        </w:rPr>
      </w:pPr>
      <w:r w:rsidRPr="00E075A3">
        <w:rPr>
          <w:rFonts w:ascii="Arial" w:eastAsia="Arial Unicode MS" w:hAnsi="Arial" w:cs="Arial"/>
          <w:sz w:val="22"/>
          <w:szCs w:val="22"/>
        </w:rPr>
        <w:t>5.5.3.2</w:t>
      </w:r>
      <w:r>
        <w:rPr>
          <w:rFonts w:ascii="Arial" w:eastAsia="Arial Unicode MS" w:hAnsi="Arial" w:cs="Arial"/>
          <w:sz w:val="22"/>
          <w:szCs w:val="22"/>
        </w:rPr>
        <w:tab/>
      </w:r>
      <w:r w:rsidR="00A90F70" w:rsidRPr="00E075A3">
        <w:rPr>
          <w:rFonts w:ascii="Arial" w:eastAsia="Arial Unicode MS" w:hAnsi="Arial" w:cs="Arial"/>
          <w:sz w:val="22"/>
          <w:szCs w:val="22"/>
        </w:rPr>
        <w:t xml:space="preserve">The following receivables are specifically identified as being </w:t>
      </w:r>
      <w:r w:rsidR="00A90F70" w:rsidRPr="00E075A3">
        <w:rPr>
          <w:rFonts w:ascii="Arial" w:eastAsia="Arial Unicode MS" w:hAnsi="Arial" w:cs="Arial"/>
          <w:b/>
          <w:sz w:val="22"/>
          <w:szCs w:val="22"/>
        </w:rPr>
        <w:t>low risk</w:t>
      </w:r>
      <w:r w:rsidR="00A90F70" w:rsidRPr="00E075A3">
        <w:rPr>
          <w:rFonts w:ascii="Arial" w:eastAsia="Arial Unicode MS" w:hAnsi="Arial" w:cs="Arial"/>
          <w:sz w:val="22"/>
          <w:szCs w:val="22"/>
        </w:rPr>
        <w:t xml:space="preserve"> receivables due to their nature and past payment history:</w:t>
      </w:r>
    </w:p>
    <w:p w14:paraId="65E21F3F" w14:textId="77777777" w:rsidR="00A90F70" w:rsidRPr="00A84417" w:rsidRDefault="00A90F70" w:rsidP="00587EB4">
      <w:pPr>
        <w:pStyle w:val="ListParagraph"/>
        <w:ind w:left="525"/>
        <w:jc w:val="both"/>
        <w:rPr>
          <w:rFonts w:ascii="Arial" w:eastAsia="Arial Unicode MS" w:hAnsi="Arial" w:cs="Arial"/>
          <w:szCs w:val="22"/>
        </w:rPr>
      </w:pPr>
    </w:p>
    <w:p w14:paraId="2ED5B07E" w14:textId="50D637E5" w:rsidR="00A90F70" w:rsidRPr="00871473" w:rsidRDefault="00A84417" w:rsidP="00587EB4">
      <w:pPr>
        <w:pStyle w:val="ListParagraph"/>
        <w:numPr>
          <w:ilvl w:val="0"/>
          <w:numId w:val="15"/>
        </w:numPr>
        <w:tabs>
          <w:tab w:val="left" w:pos="1134"/>
        </w:tabs>
        <w:jc w:val="both"/>
        <w:rPr>
          <w:rFonts w:ascii="Arial" w:eastAsia="Arial Unicode MS" w:hAnsi="Arial" w:cs="Arial"/>
          <w:szCs w:val="22"/>
        </w:rPr>
      </w:pPr>
      <w:r w:rsidRPr="00871473">
        <w:rPr>
          <w:rFonts w:ascii="Arial" w:eastAsia="Arial Unicode MS" w:hAnsi="Arial" w:cs="Arial"/>
          <w:szCs w:val="22"/>
        </w:rPr>
        <w:t>Accounts</w:t>
      </w:r>
      <w:r w:rsidR="00512C00" w:rsidRPr="00871473">
        <w:rPr>
          <w:rFonts w:ascii="Arial" w:eastAsia="Arial Unicode MS" w:hAnsi="Arial" w:cs="Arial"/>
          <w:szCs w:val="22"/>
        </w:rPr>
        <w:t xml:space="preserve"> </w:t>
      </w:r>
      <w:r w:rsidR="0045736B" w:rsidRPr="00871473">
        <w:rPr>
          <w:rFonts w:ascii="Arial" w:eastAsia="Arial Unicode MS" w:hAnsi="Arial" w:cs="Arial"/>
          <w:szCs w:val="22"/>
        </w:rPr>
        <w:t>with</w:t>
      </w:r>
      <w:r w:rsidR="0045736B">
        <w:rPr>
          <w:rFonts w:ascii="Arial" w:eastAsia="Arial Unicode MS" w:hAnsi="Arial" w:cs="Arial"/>
          <w:szCs w:val="22"/>
        </w:rPr>
        <w:t xml:space="preserve"> </w:t>
      </w:r>
      <w:r w:rsidR="0045736B" w:rsidRPr="00871473">
        <w:rPr>
          <w:rFonts w:ascii="Arial" w:eastAsia="Arial Unicode MS" w:hAnsi="Arial" w:cs="Arial"/>
          <w:szCs w:val="22"/>
        </w:rPr>
        <w:t>current</w:t>
      </w:r>
      <w:r w:rsidR="00920C87">
        <w:rPr>
          <w:rFonts w:ascii="Arial" w:eastAsia="Arial Unicode MS" w:hAnsi="Arial" w:cs="Arial"/>
          <w:szCs w:val="22"/>
        </w:rPr>
        <w:t xml:space="preserve"> and 30 </w:t>
      </w:r>
      <w:r w:rsidR="006A5CD3">
        <w:rPr>
          <w:rFonts w:ascii="Arial" w:eastAsia="Arial Unicode MS" w:hAnsi="Arial" w:cs="Arial"/>
          <w:szCs w:val="22"/>
        </w:rPr>
        <w:t>days</w:t>
      </w:r>
      <w:r w:rsidR="006A5CD3" w:rsidRPr="00871473">
        <w:rPr>
          <w:rFonts w:ascii="Arial" w:eastAsia="Arial Unicode MS" w:hAnsi="Arial" w:cs="Arial"/>
          <w:szCs w:val="22"/>
        </w:rPr>
        <w:t xml:space="preserve"> outstanding</w:t>
      </w:r>
      <w:r w:rsidR="00920C87">
        <w:rPr>
          <w:rFonts w:ascii="Arial" w:eastAsia="Arial Unicode MS" w:hAnsi="Arial" w:cs="Arial"/>
          <w:szCs w:val="22"/>
        </w:rPr>
        <w:t xml:space="preserve"> balance</w:t>
      </w:r>
      <w:r w:rsidR="00871473">
        <w:rPr>
          <w:rFonts w:ascii="Arial" w:eastAsia="Arial Unicode MS" w:hAnsi="Arial" w:cs="Arial"/>
          <w:szCs w:val="22"/>
        </w:rPr>
        <w:t>.</w:t>
      </w:r>
    </w:p>
    <w:p w14:paraId="56E0AE3C" w14:textId="77777777" w:rsidR="00A90F70" w:rsidRPr="00E075A3" w:rsidRDefault="00A90F70" w:rsidP="00587EB4">
      <w:pPr>
        <w:pStyle w:val="ListParagraph"/>
        <w:ind w:left="525"/>
        <w:jc w:val="both"/>
        <w:rPr>
          <w:rFonts w:ascii="Arial" w:eastAsia="Arial Unicode MS" w:hAnsi="Arial" w:cs="Arial"/>
          <w:szCs w:val="22"/>
        </w:rPr>
      </w:pPr>
    </w:p>
    <w:p w14:paraId="0489132F" w14:textId="77777777" w:rsidR="00A90F70" w:rsidRPr="00A84417" w:rsidRDefault="00E075A3" w:rsidP="00587EB4">
      <w:pPr>
        <w:ind w:left="851" w:hanging="851"/>
        <w:jc w:val="both"/>
        <w:rPr>
          <w:rFonts w:ascii="Arial" w:eastAsia="Arial Unicode MS" w:hAnsi="Arial" w:cs="Arial"/>
          <w:sz w:val="22"/>
          <w:szCs w:val="22"/>
        </w:rPr>
      </w:pPr>
      <w:bookmarkStart w:id="30" w:name="OLE_LINK5"/>
      <w:r>
        <w:rPr>
          <w:rFonts w:ascii="Arial" w:eastAsia="Arial Unicode MS" w:hAnsi="Arial" w:cs="Arial"/>
          <w:sz w:val="22"/>
          <w:szCs w:val="22"/>
        </w:rPr>
        <w:t>5.5.3.3</w:t>
      </w:r>
      <w:r>
        <w:rPr>
          <w:rFonts w:ascii="Arial" w:eastAsia="Arial Unicode MS" w:hAnsi="Arial" w:cs="Arial"/>
          <w:sz w:val="22"/>
          <w:szCs w:val="22"/>
        </w:rPr>
        <w:tab/>
      </w:r>
      <w:r w:rsidR="00A90F70" w:rsidRPr="00A84417">
        <w:rPr>
          <w:rFonts w:ascii="Arial" w:eastAsia="Arial Unicode MS" w:hAnsi="Arial" w:cs="Arial"/>
          <w:sz w:val="22"/>
          <w:szCs w:val="22"/>
        </w:rPr>
        <w:t xml:space="preserve">The following receivables are specifically identified as being </w:t>
      </w:r>
      <w:r w:rsidR="00A90F70" w:rsidRPr="001E6881">
        <w:rPr>
          <w:rFonts w:ascii="Arial" w:eastAsia="Arial Unicode MS" w:hAnsi="Arial" w:cs="Arial"/>
          <w:b/>
          <w:sz w:val="22"/>
          <w:szCs w:val="22"/>
        </w:rPr>
        <w:t>medium risk</w:t>
      </w:r>
      <w:r w:rsidR="00A90F70" w:rsidRPr="00A84417">
        <w:rPr>
          <w:rFonts w:ascii="Arial" w:eastAsia="Arial Unicode MS" w:hAnsi="Arial" w:cs="Arial"/>
          <w:sz w:val="22"/>
          <w:szCs w:val="22"/>
        </w:rPr>
        <w:t xml:space="preserve"> receivables due to their nature and past payment history:</w:t>
      </w:r>
    </w:p>
    <w:p w14:paraId="19B1AE52" w14:textId="77777777" w:rsidR="00A90F70" w:rsidRPr="00A84417" w:rsidRDefault="00A90F70" w:rsidP="00587EB4">
      <w:pPr>
        <w:pStyle w:val="ListParagraph"/>
        <w:ind w:left="525"/>
        <w:jc w:val="both"/>
        <w:rPr>
          <w:rFonts w:ascii="Arial" w:eastAsia="Arial Unicode MS" w:hAnsi="Arial" w:cs="Arial"/>
          <w:szCs w:val="22"/>
        </w:rPr>
      </w:pPr>
    </w:p>
    <w:p w14:paraId="507934C3" w14:textId="77777777" w:rsidR="00A90F70" w:rsidRPr="00871473" w:rsidRDefault="00A84417" w:rsidP="005D496E">
      <w:pPr>
        <w:pStyle w:val="ListParagraph"/>
        <w:numPr>
          <w:ilvl w:val="0"/>
          <w:numId w:val="15"/>
        </w:numPr>
        <w:tabs>
          <w:tab w:val="left" w:pos="1134"/>
        </w:tabs>
        <w:jc w:val="both"/>
        <w:rPr>
          <w:rFonts w:ascii="Arial" w:eastAsia="Arial Unicode MS" w:hAnsi="Arial" w:cs="Arial"/>
          <w:szCs w:val="22"/>
        </w:rPr>
      </w:pPr>
      <w:r w:rsidRPr="00871473">
        <w:rPr>
          <w:rFonts w:ascii="Arial" w:eastAsia="Arial Unicode MS" w:hAnsi="Arial" w:cs="Arial"/>
          <w:szCs w:val="22"/>
        </w:rPr>
        <w:t>Accounts with balances of 3</w:t>
      </w:r>
      <w:r w:rsidR="00957DCE">
        <w:rPr>
          <w:rFonts w:ascii="Arial" w:eastAsia="Arial Unicode MS" w:hAnsi="Arial" w:cs="Arial"/>
          <w:szCs w:val="22"/>
        </w:rPr>
        <w:t>1 to 90</w:t>
      </w:r>
      <w:r w:rsidRPr="00871473">
        <w:rPr>
          <w:rFonts w:ascii="Arial" w:eastAsia="Arial Unicode MS" w:hAnsi="Arial" w:cs="Arial"/>
          <w:szCs w:val="22"/>
        </w:rPr>
        <w:t xml:space="preserve"> days only</w:t>
      </w:r>
      <w:r w:rsidR="00871473">
        <w:rPr>
          <w:rFonts w:ascii="Arial" w:eastAsia="Arial Unicode MS" w:hAnsi="Arial" w:cs="Arial"/>
          <w:szCs w:val="22"/>
        </w:rPr>
        <w:t>.</w:t>
      </w:r>
    </w:p>
    <w:bookmarkEnd w:id="30"/>
    <w:p w14:paraId="54EA06CA" w14:textId="77777777" w:rsidR="00A90F70" w:rsidRPr="00E075A3" w:rsidRDefault="00A90F70" w:rsidP="00A84417">
      <w:pPr>
        <w:pStyle w:val="ListParagraph"/>
        <w:jc w:val="both"/>
        <w:rPr>
          <w:rFonts w:ascii="Arial" w:eastAsia="Arial Unicode MS" w:hAnsi="Arial" w:cs="Arial"/>
          <w:szCs w:val="22"/>
        </w:rPr>
      </w:pPr>
    </w:p>
    <w:p w14:paraId="4B9A9156" w14:textId="743E741C" w:rsidR="00406BED" w:rsidRDefault="00E075A3" w:rsidP="00406BED">
      <w:pPr>
        <w:ind w:left="720" w:hanging="720"/>
        <w:jc w:val="both"/>
        <w:rPr>
          <w:rFonts w:ascii="Arial" w:eastAsia="Arial Unicode MS" w:hAnsi="Arial" w:cs="Arial"/>
          <w:b/>
          <w:bCs/>
          <w:sz w:val="22"/>
          <w:szCs w:val="22"/>
        </w:rPr>
      </w:pPr>
      <w:r w:rsidRPr="00012647">
        <w:rPr>
          <w:rFonts w:ascii="Arial" w:eastAsia="Arial Unicode MS" w:hAnsi="Arial" w:cs="Arial"/>
          <w:sz w:val="22"/>
          <w:szCs w:val="22"/>
        </w:rPr>
        <w:t>5.5.4</w:t>
      </w:r>
      <w:r w:rsidRPr="00012647">
        <w:rPr>
          <w:rFonts w:ascii="Arial" w:eastAsia="Arial Unicode MS" w:hAnsi="Arial" w:cs="Arial"/>
          <w:sz w:val="22"/>
          <w:szCs w:val="22"/>
        </w:rPr>
        <w:tab/>
      </w:r>
      <w:r w:rsidR="00406BED">
        <w:rPr>
          <w:rFonts w:ascii="Arial" w:eastAsia="Arial Unicode MS" w:hAnsi="Arial" w:cs="Arial"/>
          <w:b/>
          <w:bCs/>
          <w:sz w:val="22"/>
          <w:szCs w:val="22"/>
        </w:rPr>
        <w:t>Receivables from Exchange Transactions and Receivables from Non-Exchange Transactions</w:t>
      </w:r>
    </w:p>
    <w:p w14:paraId="33B0FCF7" w14:textId="77777777" w:rsidR="00406BED" w:rsidRDefault="00406BED" w:rsidP="00406BED">
      <w:pPr>
        <w:ind w:left="720" w:hanging="720"/>
        <w:jc w:val="both"/>
        <w:rPr>
          <w:rFonts w:ascii="Arial" w:eastAsia="Arial Unicode MS" w:hAnsi="Arial" w:cs="Arial"/>
          <w:sz w:val="22"/>
          <w:szCs w:val="22"/>
        </w:rPr>
      </w:pPr>
    </w:p>
    <w:p w14:paraId="1AF94C43" w14:textId="2904BE7D" w:rsidR="00406BED" w:rsidRDefault="00406BED" w:rsidP="008B7D90">
      <w:pPr>
        <w:ind w:left="720" w:hanging="720"/>
        <w:jc w:val="both"/>
        <w:rPr>
          <w:rFonts w:ascii="Arial" w:eastAsia="Arial Unicode MS" w:hAnsi="Arial" w:cs="Arial"/>
          <w:sz w:val="22"/>
          <w:szCs w:val="22"/>
        </w:rPr>
      </w:pPr>
      <w:r>
        <w:rPr>
          <w:rFonts w:ascii="Arial" w:eastAsia="Arial Unicode MS" w:hAnsi="Arial" w:cs="Arial"/>
          <w:sz w:val="22"/>
          <w:szCs w:val="22"/>
        </w:rPr>
        <w:t xml:space="preserve">5.5.4.1 </w:t>
      </w:r>
      <w:r w:rsidR="00587EB4">
        <w:rPr>
          <w:rFonts w:ascii="Arial" w:eastAsia="Arial Unicode MS" w:hAnsi="Arial" w:cs="Arial"/>
          <w:sz w:val="22"/>
          <w:szCs w:val="22"/>
        </w:rPr>
        <w:t>The c</w:t>
      </w:r>
      <w:r>
        <w:rPr>
          <w:rFonts w:ascii="Arial" w:eastAsia="Arial Unicode MS" w:hAnsi="Arial" w:cs="Arial"/>
          <w:sz w:val="22"/>
          <w:szCs w:val="22"/>
        </w:rPr>
        <w:t xml:space="preserve">ategorisation of </w:t>
      </w:r>
      <w:r w:rsidR="00587EB4">
        <w:rPr>
          <w:rFonts w:ascii="Arial" w:eastAsia="Arial Unicode MS" w:hAnsi="Arial" w:cs="Arial"/>
          <w:sz w:val="22"/>
          <w:szCs w:val="22"/>
        </w:rPr>
        <w:t>receivables from exchange and non-exchange transactions inline with three risk categories will be similar to consumer receivables, as defined above in 5.5.3.</w:t>
      </w:r>
    </w:p>
    <w:p w14:paraId="360C910F" w14:textId="4722F30C" w:rsidR="002F077B" w:rsidRDefault="002F077B" w:rsidP="008B7D90">
      <w:pPr>
        <w:ind w:left="720" w:hanging="720"/>
        <w:jc w:val="both"/>
        <w:rPr>
          <w:rFonts w:ascii="Arial" w:eastAsia="Arial Unicode MS" w:hAnsi="Arial" w:cs="Arial"/>
          <w:sz w:val="22"/>
          <w:szCs w:val="22"/>
        </w:rPr>
      </w:pPr>
    </w:p>
    <w:p w14:paraId="22D2ED33" w14:textId="64FC0EFB" w:rsidR="002F077B" w:rsidRDefault="002F077B" w:rsidP="008B7D90">
      <w:pPr>
        <w:ind w:left="720" w:hanging="720"/>
        <w:jc w:val="both"/>
        <w:rPr>
          <w:rFonts w:ascii="Arial" w:eastAsia="Arial Unicode MS" w:hAnsi="Arial" w:cs="Arial"/>
          <w:sz w:val="22"/>
          <w:szCs w:val="22"/>
        </w:rPr>
      </w:pPr>
    </w:p>
    <w:p w14:paraId="34D7AC7E" w14:textId="6AC890E4" w:rsidR="002F077B" w:rsidRDefault="002F077B" w:rsidP="008B7D90">
      <w:pPr>
        <w:ind w:left="720" w:hanging="720"/>
        <w:jc w:val="both"/>
        <w:rPr>
          <w:rFonts w:ascii="Arial" w:eastAsia="Arial Unicode MS" w:hAnsi="Arial" w:cs="Arial"/>
          <w:sz w:val="22"/>
          <w:szCs w:val="22"/>
        </w:rPr>
      </w:pPr>
    </w:p>
    <w:p w14:paraId="2B6B7A5C" w14:textId="27500FFE" w:rsidR="002F077B" w:rsidRDefault="002F077B" w:rsidP="008B7D90">
      <w:pPr>
        <w:ind w:left="720" w:hanging="720"/>
        <w:jc w:val="both"/>
        <w:rPr>
          <w:rFonts w:ascii="Arial" w:eastAsia="Arial Unicode MS" w:hAnsi="Arial" w:cs="Arial"/>
          <w:sz w:val="22"/>
          <w:szCs w:val="22"/>
        </w:rPr>
      </w:pPr>
    </w:p>
    <w:p w14:paraId="45825073" w14:textId="4EA149D0" w:rsidR="002F077B" w:rsidRDefault="002F077B" w:rsidP="008B7D90">
      <w:pPr>
        <w:ind w:left="720" w:hanging="720"/>
        <w:jc w:val="both"/>
        <w:rPr>
          <w:rFonts w:ascii="Arial" w:eastAsia="Arial Unicode MS" w:hAnsi="Arial" w:cs="Arial"/>
          <w:sz w:val="22"/>
          <w:szCs w:val="22"/>
        </w:rPr>
      </w:pPr>
    </w:p>
    <w:p w14:paraId="1C9995B8" w14:textId="067B111B" w:rsidR="002F077B" w:rsidRDefault="002F077B" w:rsidP="008B7D90">
      <w:pPr>
        <w:ind w:left="720" w:hanging="720"/>
        <w:jc w:val="both"/>
        <w:rPr>
          <w:rFonts w:ascii="Arial" w:eastAsia="Arial Unicode MS" w:hAnsi="Arial" w:cs="Arial"/>
          <w:sz w:val="22"/>
          <w:szCs w:val="22"/>
        </w:rPr>
      </w:pPr>
    </w:p>
    <w:p w14:paraId="3A4BFD85" w14:textId="1A226B23" w:rsidR="002F077B" w:rsidRDefault="002F077B" w:rsidP="008B7D90">
      <w:pPr>
        <w:ind w:left="720" w:hanging="720"/>
        <w:jc w:val="both"/>
        <w:rPr>
          <w:rFonts w:ascii="Arial" w:eastAsia="Arial Unicode MS" w:hAnsi="Arial" w:cs="Arial"/>
          <w:sz w:val="22"/>
          <w:szCs w:val="22"/>
        </w:rPr>
      </w:pPr>
    </w:p>
    <w:p w14:paraId="3574D098" w14:textId="2824E72A" w:rsidR="002F077B" w:rsidRDefault="002F077B" w:rsidP="008B7D90">
      <w:pPr>
        <w:ind w:left="720" w:hanging="720"/>
        <w:jc w:val="both"/>
        <w:rPr>
          <w:rFonts w:ascii="Arial" w:eastAsia="Arial Unicode MS" w:hAnsi="Arial" w:cs="Arial"/>
          <w:sz w:val="22"/>
          <w:szCs w:val="22"/>
        </w:rPr>
      </w:pPr>
    </w:p>
    <w:p w14:paraId="2AC5016A" w14:textId="0668AD1F" w:rsidR="002F077B" w:rsidRDefault="002F077B" w:rsidP="008B7D90">
      <w:pPr>
        <w:ind w:left="720" w:hanging="720"/>
        <w:jc w:val="both"/>
        <w:rPr>
          <w:rFonts w:ascii="Arial" w:eastAsia="Arial Unicode MS" w:hAnsi="Arial" w:cs="Arial"/>
          <w:sz w:val="22"/>
          <w:szCs w:val="22"/>
        </w:rPr>
      </w:pPr>
    </w:p>
    <w:p w14:paraId="78C625D2" w14:textId="5CC0B228" w:rsidR="002F077B" w:rsidRDefault="002F077B" w:rsidP="008B7D90">
      <w:pPr>
        <w:ind w:left="720" w:hanging="720"/>
        <w:jc w:val="both"/>
        <w:rPr>
          <w:rFonts w:ascii="Arial" w:eastAsia="Arial Unicode MS" w:hAnsi="Arial" w:cs="Arial"/>
          <w:sz w:val="22"/>
          <w:szCs w:val="22"/>
        </w:rPr>
      </w:pPr>
    </w:p>
    <w:p w14:paraId="677F8F08" w14:textId="77777777" w:rsidR="002F077B" w:rsidRPr="00406BED" w:rsidRDefault="002F077B" w:rsidP="008B7D90">
      <w:pPr>
        <w:ind w:left="720" w:hanging="720"/>
        <w:jc w:val="both"/>
        <w:rPr>
          <w:rFonts w:ascii="Arial" w:eastAsia="Arial Unicode MS" w:hAnsi="Arial" w:cs="Arial"/>
          <w:sz w:val="22"/>
          <w:szCs w:val="22"/>
        </w:rPr>
      </w:pPr>
    </w:p>
    <w:p w14:paraId="2AAB0762" w14:textId="77777777" w:rsidR="00406BED" w:rsidRDefault="00406BED" w:rsidP="00E075A3">
      <w:pPr>
        <w:jc w:val="both"/>
        <w:rPr>
          <w:rFonts w:ascii="Arial" w:eastAsia="Arial Unicode MS" w:hAnsi="Arial" w:cs="Arial"/>
          <w:sz w:val="22"/>
          <w:szCs w:val="22"/>
        </w:rPr>
      </w:pPr>
    </w:p>
    <w:p w14:paraId="31134714" w14:textId="3B5E0E75" w:rsidR="00A90F70" w:rsidRPr="00012647" w:rsidRDefault="00406BED" w:rsidP="008B7D90">
      <w:pPr>
        <w:tabs>
          <w:tab w:val="left" w:pos="851"/>
        </w:tabs>
        <w:rPr>
          <w:rFonts w:ascii="Arial" w:eastAsia="Arial Unicode MS" w:hAnsi="Arial" w:cs="Arial"/>
          <w:sz w:val="22"/>
          <w:szCs w:val="22"/>
        </w:rPr>
      </w:pPr>
      <w:r>
        <w:rPr>
          <w:rFonts w:ascii="Arial" w:eastAsia="Arial Unicode MS" w:hAnsi="Arial" w:cs="Arial"/>
          <w:sz w:val="22"/>
          <w:szCs w:val="22"/>
        </w:rPr>
        <w:t xml:space="preserve">5.5.5 </w:t>
      </w:r>
      <w:r w:rsidR="00A90F70" w:rsidRPr="008B7D90">
        <w:rPr>
          <w:rFonts w:ascii="Arial" w:eastAsia="Arial Unicode MS" w:hAnsi="Arial" w:cs="Arial"/>
          <w:b/>
          <w:bCs/>
          <w:sz w:val="22"/>
          <w:szCs w:val="22"/>
        </w:rPr>
        <w:t xml:space="preserve">Summary of risk groups for consumer </w:t>
      </w:r>
      <w:r w:rsidR="00587EB4">
        <w:rPr>
          <w:rFonts w:ascii="Arial" w:eastAsia="Arial Unicode MS" w:hAnsi="Arial" w:cs="Arial"/>
          <w:b/>
          <w:bCs/>
          <w:sz w:val="22"/>
          <w:szCs w:val="22"/>
        </w:rPr>
        <w:t xml:space="preserve">and other </w:t>
      </w:r>
      <w:r w:rsidR="00A90F70" w:rsidRPr="008B7D90">
        <w:rPr>
          <w:rFonts w:ascii="Arial" w:eastAsia="Arial Unicode MS" w:hAnsi="Arial" w:cs="Arial"/>
          <w:b/>
          <w:bCs/>
          <w:sz w:val="22"/>
          <w:szCs w:val="22"/>
        </w:rPr>
        <w:t>receivables</w:t>
      </w:r>
    </w:p>
    <w:p w14:paraId="4B9A9FFC" w14:textId="77777777" w:rsidR="00A84417" w:rsidRPr="00A84417" w:rsidRDefault="00A84417" w:rsidP="00A84417">
      <w:pPr>
        <w:pStyle w:val="ListParagraph"/>
        <w:rPr>
          <w:rFonts w:ascii="Arial" w:eastAsia="Arial Unicode MS" w:hAnsi="Arial" w:cs="Arial"/>
          <w:szCs w:val="22"/>
        </w:rPr>
      </w:pPr>
    </w:p>
    <w:tbl>
      <w:tblPr>
        <w:tblW w:w="779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8"/>
        <w:gridCol w:w="2599"/>
        <w:gridCol w:w="2599"/>
      </w:tblGrid>
      <w:tr w:rsidR="00A84417" w:rsidRPr="00A84417" w14:paraId="3DECE072" w14:textId="77777777" w:rsidTr="00A9047B">
        <w:trPr>
          <w:trHeight w:val="408"/>
        </w:trPr>
        <w:tc>
          <w:tcPr>
            <w:tcW w:w="2598" w:type="dxa"/>
            <w:shd w:val="clear" w:color="auto" w:fill="DADADA"/>
            <w:vAlign w:val="center"/>
          </w:tcPr>
          <w:p w14:paraId="05F85899" w14:textId="77777777" w:rsidR="00A84417" w:rsidRPr="00A84417" w:rsidRDefault="00A84417" w:rsidP="00A9047B">
            <w:pPr>
              <w:widowControl w:val="0"/>
              <w:autoSpaceDE w:val="0"/>
              <w:autoSpaceDN w:val="0"/>
              <w:spacing w:line="256" w:lineRule="exact"/>
              <w:ind w:left="988"/>
              <w:rPr>
                <w:rFonts w:ascii="Arial" w:eastAsia="Arial" w:hAnsi="Arial" w:cs="Arial"/>
                <w:b/>
                <w:sz w:val="22"/>
                <w:szCs w:val="22"/>
                <w:lang w:bidi="en-US"/>
              </w:rPr>
            </w:pPr>
            <w:r w:rsidRPr="00A84417">
              <w:rPr>
                <w:rFonts w:ascii="Arial" w:eastAsia="Arial" w:hAnsi="Arial" w:cs="Arial"/>
                <w:b/>
                <w:sz w:val="22"/>
                <w:szCs w:val="22"/>
                <w:lang w:bidi="en-US"/>
              </w:rPr>
              <w:t>High risk</w:t>
            </w:r>
          </w:p>
        </w:tc>
        <w:tc>
          <w:tcPr>
            <w:tcW w:w="2599" w:type="dxa"/>
            <w:shd w:val="clear" w:color="auto" w:fill="DADADA"/>
            <w:vAlign w:val="center"/>
          </w:tcPr>
          <w:p w14:paraId="236B9517" w14:textId="77777777" w:rsidR="00A84417" w:rsidRPr="00A84417" w:rsidRDefault="00A84417" w:rsidP="00A9047B">
            <w:pPr>
              <w:widowControl w:val="0"/>
              <w:autoSpaceDE w:val="0"/>
              <w:autoSpaceDN w:val="0"/>
              <w:spacing w:line="256" w:lineRule="exact"/>
              <w:ind w:left="801"/>
              <w:rPr>
                <w:rFonts w:ascii="Arial" w:eastAsia="Arial" w:hAnsi="Arial" w:cs="Arial"/>
                <w:b/>
                <w:sz w:val="22"/>
                <w:szCs w:val="22"/>
                <w:lang w:bidi="en-US"/>
              </w:rPr>
            </w:pPr>
            <w:r w:rsidRPr="00A84417">
              <w:rPr>
                <w:rFonts w:ascii="Arial" w:eastAsia="Arial" w:hAnsi="Arial" w:cs="Arial"/>
                <w:b/>
                <w:sz w:val="22"/>
                <w:szCs w:val="22"/>
                <w:lang w:bidi="en-US"/>
              </w:rPr>
              <w:t>Medium risk</w:t>
            </w:r>
          </w:p>
        </w:tc>
        <w:tc>
          <w:tcPr>
            <w:tcW w:w="2599" w:type="dxa"/>
            <w:shd w:val="clear" w:color="auto" w:fill="DADADA"/>
            <w:vAlign w:val="center"/>
          </w:tcPr>
          <w:p w14:paraId="71434CF9" w14:textId="77777777" w:rsidR="00A84417" w:rsidRPr="00A84417" w:rsidRDefault="00A84417" w:rsidP="00A9047B">
            <w:pPr>
              <w:widowControl w:val="0"/>
              <w:autoSpaceDE w:val="0"/>
              <w:autoSpaceDN w:val="0"/>
              <w:spacing w:line="256" w:lineRule="exact"/>
              <w:ind w:right="987"/>
              <w:jc w:val="center"/>
              <w:rPr>
                <w:rFonts w:ascii="Arial" w:eastAsia="Arial" w:hAnsi="Arial" w:cs="Arial"/>
                <w:b/>
                <w:sz w:val="22"/>
                <w:szCs w:val="22"/>
                <w:lang w:bidi="en-US"/>
              </w:rPr>
            </w:pPr>
            <w:r w:rsidRPr="00A84417">
              <w:rPr>
                <w:rFonts w:ascii="Arial" w:eastAsia="Arial" w:hAnsi="Arial" w:cs="Arial"/>
                <w:b/>
                <w:sz w:val="22"/>
                <w:szCs w:val="22"/>
                <w:lang w:bidi="en-US"/>
              </w:rPr>
              <w:t>Low risk</w:t>
            </w:r>
          </w:p>
        </w:tc>
      </w:tr>
      <w:tr w:rsidR="007577B9" w:rsidRPr="00A84417" w14:paraId="7361850B" w14:textId="77777777" w:rsidTr="00654F89">
        <w:trPr>
          <w:trHeight w:val="1008"/>
        </w:trPr>
        <w:tc>
          <w:tcPr>
            <w:tcW w:w="2598" w:type="dxa"/>
          </w:tcPr>
          <w:p w14:paraId="436B5626" w14:textId="77777777" w:rsidR="007577B9" w:rsidRPr="00A9047B" w:rsidRDefault="007577B9" w:rsidP="00A9047B">
            <w:pPr>
              <w:widowControl w:val="0"/>
              <w:autoSpaceDE w:val="0"/>
              <w:autoSpaceDN w:val="0"/>
              <w:spacing w:line="256" w:lineRule="exact"/>
              <w:ind w:left="107"/>
              <w:jc w:val="center"/>
              <w:rPr>
                <w:rFonts w:ascii="Arial" w:eastAsia="Arial" w:hAnsi="Arial" w:cs="Arial"/>
                <w:sz w:val="22"/>
                <w:szCs w:val="22"/>
                <w:lang w:bidi="en-US"/>
              </w:rPr>
            </w:pPr>
          </w:p>
          <w:p w14:paraId="07D4B664" w14:textId="2032AC2C" w:rsidR="007577B9" w:rsidRDefault="007577B9">
            <w:pPr>
              <w:widowControl w:val="0"/>
              <w:autoSpaceDE w:val="0"/>
              <w:autoSpaceDN w:val="0"/>
              <w:spacing w:line="256" w:lineRule="exact"/>
              <w:ind w:left="107"/>
              <w:jc w:val="center"/>
              <w:rPr>
                <w:rFonts w:ascii="Arial" w:eastAsia="Arial" w:hAnsi="Arial" w:cs="Arial"/>
                <w:sz w:val="22"/>
                <w:szCs w:val="22"/>
                <w:lang w:bidi="en-US"/>
              </w:rPr>
            </w:pPr>
            <w:r w:rsidRPr="00A9047B">
              <w:rPr>
                <w:rFonts w:ascii="Arial" w:eastAsia="Arial" w:hAnsi="Arial" w:cs="Arial"/>
                <w:sz w:val="22"/>
                <w:szCs w:val="22"/>
                <w:lang w:bidi="en-US"/>
              </w:rPr>
              <w:t xml:space="preserve">Accounts </w:t>
            </w:r>
            <w:r w:rsidR="00B840FB">
              <w:rPr>
                <w:rFonts w:ascii="Arial" w:eastAsia="Arial" w:hAnsi="Arial" w:cs="Arial"/>
                <w:sz w:val="22"/>
                <w:szCs w:val="22"/>
                <w:lang w:bidi="en-US"/>
              </w:rPr>
              <w:t xml:space="preserve">that are outstanding for more </w:t>
            </w:r>
            <w:r w:rsidR="008B7D90">
              <w:rPr>
                <w:rFonts w:ascii="Arial" w:eastAsia="Arial" w:hAnsi="Arial" w:cs="Arial"/>
                <w:sz w:val="22"/>
                <w:szCs w:val="22"/>
                <w:lang w:bidi="en-US"/>
              </w:rPr>
              <w:t>than 90</w:t>
            </w:r>
            <w:r w:rsidR="00B840FB">
              <w:rPr>
                <w:rFonts w:ascii="Arial" w:eastAsia="Arial" w:hAnsi="Arial" w:cs="Arial"/>
                <w:sz w:val="22"/>
                <w:szCs w:val="22"/>
                <w:lang w:bidi="en-US"/>
              </w:rPr>
              <w:t xml:space="preserve"> </w:t>
            </w:r>
            <w:r w:rsidRPr="00A9047B">
              <w:rPr>
                <w:rFonts w:ascii="Arial" w:eastAsia="Arial" w:hAnsi="Arial" w:cs="Arial"/>
                <w:sz w:val="22"/>
                <w:szCs w:val="22"/>
                <w:lang w:bidi="en-US"/>
              </w:rPr>
              <w:t>days</w:t>
            </w:r>
            <w:r w:rsidR="00B840FB">
              <w:rPr>
                <w:rFonts w:ascii="Arial" w:eastAsia="Arial" w:hAnsi="Arial" w:cs="Arial"/>
                <w:sz w:val="22"/>
                <w:szCs w:val="22"/>
                <w:lang w:bidi="en-US"/>
              </w:rPr>
              <w:t>.</w:t>
            </w:r>
          </w:p>
          <w:p w14:paraId="0665D1DB" w14:textId="77777777" w:rsidR="00B840FB" w:rsidRDefault="00B840FB">
            <w:pPr>
              <w:widowControl w:val="0"/>
              <w:autoSpaceDE w:val="0"/>
              <w:autoSpaceDN w:val="0"/>
              <w:spacing w:line="256" w:lineRule="exact"/>
              <w:ind w:left="107"/>
              <w:jc w:val="center"/>
              <w:rPr>
                <w:rFonts w:ascii="Arial" w:eastAsia="Arial" w:hAnsi="Arial" w:cs="Arial"/>
                <w:sz w:val="22"/>
                <w:szCs w:val="22"/>
                <w:lang w:bidi="en-US"/>
              </w:rPr>
            </w:pPr>
          </w:p>
          <w:p w14:paraId="0B306287" w14:textId="37E4B199" w:rsidR="00B840FB" w:rsidRDefault="00B840FB">
            <w:pPr>
              <w:widowControl w:val="0"/>
              <w:autoSpaceDE w:val="0"/>
              <w:autoSpaceDN w:val="0"/>
              <w:spacing w:line="256" w:lineRule="exact"/>
              <w:ind w:left="107"/>
              <w:jc w:val="center"/>
              <w:rPr>
                <w:rFonts w:ascii="Arial" w:eastAsia="Arial" w:hAnsi="Arial" w:cs="Arial"/>
                <w:b/>
                <w:sz w:val="22"/>
                <w:szCs w:val="22"/>
                <w:lang w:bidi="en-US"/>
              </w:rPr>
            </w:pPr>
            <w:r>
              <w:rPr>
                <w:rFonts w:ascii="Arial" w:eastAsia="Arial" w:hAnsi="Arial" w:cs="Arial"/>
                <w:b/>
                <w:sz w:val="22"/>
                <w:szCs w:val="22"/>
                <w:lang w:bidi="en-US"/>
              </w:rPr>
              <w:t xml:space="preserve">Indigent </w:t>
            </w:r>
            <w:r w:rsidR="002F077B">
              <w:rPr>
                <w:rFonts w:ascii="Arial" w:eastAsia="Arial" w:hAnsi="Arial" w:cs="Arial"/>
                <w:b/>
                <w:sz w:val="22"/>
                <w:szCs w:val="22"/>
                <w:lang w:bidi="en-US"/>
              </w:rPr>
              <w:t xml:space="preserve">Debtor </w:t>
            </w:r>
            <w:r>
              <w:rPr>
                <w:rFonts w:ascii="Arial" w:eastAsia="Arial" w:hAnsi="Arial" w:cs="Arial"/>
                <w:b/>
                <w:sz w:val="22"/>
                <w:szCs w:val="22"/>
                <w:lang w:bidi="en-US"/>
              </w:rPr>
              <w:t>Accounts that are outstanding for more than 31 days</w:t>
            </w:r>
          </w:p>
          <w:p w14:paraId="7B639AC1" w14:textId="0FE4C977" w:rsidR="00B40BF7" w:rsidRDefault="00B40BF7">
            <w:pPr>
              <w:widowControl w:val="0"/>
              <w:autoSpaceDE w:val="0"/>
              <w:autoSpaceDN w:val="0"/>
              <w:spacing w:line="256" w:lineRule="exact"/>
              <w:ind w:left="107"/>
              <w:jc w:val="center"/>
              <w:rPr>
                <w:rFonts w:ascii="Arial" w:eastAsia="Arial" w:hAnsi="Arial" w:cs="Arial"/>
                <w:b/>
                <w:sz w:val="22"/>
                <w:szCs w:val="22"/>
                <w:lang w:bidi="en-US"/>
              </w:rPr>
            </w:pPr>
          </w:p>
          <w:p w14:paraId="1D788E57" w14:textId="0D6812AA" w:rsidR="00B40BF7" w:rsidRDefault="00B40BF7" w:rsidP="00B40BF7">
            <w:pPr>
              <w:widowControl w:val="0"/>
              <w:autoSpaceDE w:val="0"/>
              <w:autoSpaceDN w:val="0"/>
              <w:spacing w:line="256" w:lineRule="exact"/>
              <w:ind w:left="107"/>
              <w:jc w:val="center"/>
              <w:rPr>
                <w:rFonts w:ascii="Arial" w:eastAsia="Arial" w:hAnsi="Arial" w:cs="Arial"/>
                <w:b/>
                <w:sz w:val="22"/>
                <w:szCs w:val="22"/>
                <w:lang w:bidi="en-US"/>
              </w:rPr>
            </w:pPr>
            <w:r>
              <w:rPr>
                <w:rFonts w:ascii="Arial" w:eastAsia="Arial" w:hAnsi="Arial" w:cs="Arial"/>
                <w:b/>
                <w:sz w:val="22"/>
                <w:szCs w:val="22"/>
                <w:lang w:bidi="en-US"/>
              </w:rPr>
              <w:t>Deceased Debtor Accounts that are outstanding for more than 31 days</w:t>
            </w:r>
          </w:p>
          <w:p w14:paraId="57119B58" w14:textId="77777777" w:rsidR="00B40BF7" w:rsidRPr="00AF5686" w:rsidRDefault="00B40BF7">
            <w:pPr>
              <w:widowControl w:val="0"/>
              <w:autoSpaceDE w:val="0"/>
              <w:autoSpaceDN w:val="0"/>
              <w:spacing w:line="256" w:lineRule="exact"/>
              <w:ind w:left="107"/>
              <w:jc w:val="center"/>
              <w:rPr>
                <w:rFonts w:ascii="Arial" w:eastAsia="Arial" w:hAnsi="Arial" w:cs="Arial"/>
                <w:b/>
                <w:sz w:val="22"/>
                <w:szCs w:val="22"/>
                <w:lang w:bidi="en-US"/>
              </w:rPr>
            </w:pPr>
          </w:p>
          <w:p w14:paraId="5A408FB6" w14:textId="77777777" w:rsidR="00B840FB" w:rsidRPr="00A9047B" w:rsidRDefault="00B840FB">
            <w:pPr>
              <w:widowControl w:val="0"/>
              <w:autoSpaceDE w:val="0"/>
              <w:autoSpaceDN w:val="0"/>
              <w:spacing w:line="256" w:lineRule="exact"/>
              <w:ind w:left="107"/>
              <w:jc w:val="center"/>
              <w:rPr>
                <w:rFonts w:ascii="Arial" w:eastAsia="Arial" w:hAnsi="Arial" w:cs="Arial"/>
                <w:sz w:val="22"/>
                <w:szCs w:val="22"/>
                <w:lang w:bidi="en-US"/>
              </w:rPr>
            </w:pPr>
          </w:p>
        </w:tc>
        <w:tc>
          <w:tcPr>
            <w:tcW w:w="2599" w:type="dxa"/>
          </w:tcPr>
          <w:p w14:paraId="79D61B92" w14:textId="77777777" w:rsidR="007577B9" w:rsidRPr="00A9047B" w:rsidRDefault="007577B9" w:rsidP="00A9047B">
            <w:pPr>
              <w:widowControl w:val="0"/>
              <w:tabs>
                <w:tab w:val="left" w:pos="1629"/>
                <w:tab w:val="left" w:pos="2178"/>
              </w:tabs>
              <w:autoSpaceDE w:val="0"/>
              <w:autoSpaceDN w:val="0"/>
              <w:ind w:left="107" w:right="96"/>
              <w:jc w:val="center"/>
              <w:rPr>
                <w:rFonts w:ascii="Arial" w:eastAsia="Arial" w:hAnsi="Arial" w:cs="Arial"/>
                <w:sz w:val="22"/>
                <w:szCs w:val="22"/>
                <w:lang w:bidi="en-US"/>
              </w:rPr>
            </w:pPr>
          </w:p>
          <w:p w14:paraId="25ECA3CE" w14:textId="77777777" w:rsidR="007577B9" w:rsidRPr="00A9047B" w:rsidRDefault="007577B9">
            <w:pPr>
              <w:widowControl w:val="0"/>
              <w:tabs>
                <w:tab w:val="left" w:pos="1629"/>
                <w:tab w:val="left" w:pos="2178"/>
              </w:tabs>
              <w:autoSpaceDE w:val="0"/>
              <w:autoSpaceDN w:val="0"/>
              <w:ind w:left="107" w:right="96"/>
              <w:jc w:val="center"/>
              <w:rPr>
                <w:rFonts w:ascii="Arial" w:eastAsia="Arial" w:hAnsi="Arial" w:cs="Arial"/>
                <w:sz w:val="22"/>
                <w:szCs w:val="22"/>
                <w:lang w:bidi="en-US"/>
              </w:rPr>
            </w:pPr>
            <w:r w:rsidRPr="00A9047B">
              <w:rPr>
                <w:rFonts w:ascii="Arial" w:eastAsia="Arial" w:hAnsi="Arial" w:cs="Arial"/>
                <w:sz w:val="22"/>
                <w:szCs w:val="22"/>
                <w:lang w:bidi="en-US"/>
              </w:rPr>
              <w:t xml:space="preserve">Accounts with </w:t>
            </w:r>
            <w:r w:rsidR="00B840FB">
              <w:rPr>
                <w:rFonts w:ascii="Arial" w:eastAsia="Arial" w:hAnsi="Arial" w:cs="Arial"/>
                <w:sz w:val="22"/>
                <w:szCs w:val="22"/>
                <w:lang w:bidi="en-US"/>
              </w:rPr>
              <w:t xml:space="preserve">balances </w:t>
            </w:r>
            <w:r w:rsidRPr="00A9047B">
              <w:rPr>
                <w:rFonts w:ascii="Arial" w:eastAsia="Arial" w:hAnsi="Arial" w:cs="Arial"/>
                <w:sz w:val="22"/>
                <w:szCs w:val="22"/>
                <w:lang w:bidi="en-US"/>
              </w:rPr>
              <w:t>3</w:t>
            </w:r>
            <w:r w:rsidR="00B840FB">
              <w:rPr>
                <w:rFonts w:ascii="Arial" w:eastAsia="Arial" w:hAnsi="Arial" w:cs="Arial"/>
                <w:sz w:val="22"/>
                <w:szCs w:val="22"/>
                <w:lang w:bidi="en-US"/>
              </w:rPr>
              <w:t>1 to 90 days</w:t>
            </w:r>
          </w:p>
        </w:tc>
        <w:tc>
          <w:tcPr>
            <w:tcW w:w="2599" w:type="dxa"/>
          </w:tcPr>
          <w:p w14:paraId="0254E1BE" w14:textId="77777777" w:rsidR="007577B9" w:rsidRPr="00A9047B" w:rsidRDefault="007577B9" w:rsidP="00A9047B">
            <w:pPr>
              <w:widowControl w:val="0"/>
              <w:autoSpaceDE w:val="0"/>
              <w:autoSpaceDN w:val="0"/>
              <w:spacing w:line="271" w:lineRule="exact"/>
              <w:ind w:left="107"/>
              <w:jc w:val="center"/>
              <w:rPr>
                <w:rFonts w:ascii="Arial" w:eastAsia="Arial" w:hAnsi="Arial" w:cs="Arial"/>
                <w:sz w:val="22"/>
                <w:szCs w:val="22"/>
                <w:lang w:bidi="en-US"/>
              </w:rPr>
            </w:pPr>
          </w:p>
          <w:p w14:paraId="0D64E994" w14:textId="77777777" w:rsidR="007577B9" w:rsidRPr="00A9047B" w:rsidRDefault="007577B9" w:rsidP="00A9047B">
            <w:pPr>
              <w:widowControl w:val="0"/>
              <w:autoSpaceDE w:val="0"/>
              <w:autoSpaceDN w:val="0"/>
              <w:spacing w:line="271" w:lineRule="exact"/>
              <w:ind w:left="107"/>
              <w:jc w:val="center"/>
              <w:rPr>
                <w:rFonts w:ascii="Arial" w:eastAsia="Arial" w:hAnsi="Arial" w:cs="Arial"/>
                <w:sz w:val="22"/>
                <w:szCs w:val="22"/>
                <w:lang w:bidi="en-US"/>
              </w:rPr>
            </w:pPr>
            <w:r w:rsidRPr="00A9047B">
              <w:rPr>
                <w:rFonts w:ascii="Arial" w:eastAsia="Arial" w:hAnsi="Arial" w:cs="Arial"/>
                <w:sz w:val="22"/>
                <w:szCs w:val="22"/>
                <w:lang w:bidi="en-US"/>
              </w:rPr>
              <w:t xml:space="preserve">Accounts with </w:t>
            </w:r>
            <w:r w:rsidR="00B840FB">
              <w:rPr>
                <w:rFonts w:ascii="Arial" w:eastAsia="Arial" w:hAnsi="Arial" w:cs="Arial"/>
                <w:sz w:val="22"/>
                <w:szCs w:val="22"/>
                <w:lang w:bidi="en-US"/>
              </w:rPr>
              <w:t xml:space="preserve">30 days and </w:t>
            </w:r>
            <w:r w:rsidRPr="00A9047B">
              <w:rPr>
                <w:rFonts w:ascii="Arial" w:eastAsia="Arial" w:hAnsi="Arial" w:cs="Arial"/>
                <w:sz w:val="22"/>
                <w:szCs w:val="22"/>
                <w:lang w:bidi="en-US"/>
              </w:rPr>
              <w:t>current balances</w:t>
            </w:r>
          </w:p>
        </w:tc>
      </w:tr>
    </w:tbl>
    <w:p w14:paraId="7F39E344" w14:textId="77777777" w:rsidR="00027F00" w:rsidRDefault="00A90F70" w:rsidP="00A9047B">
      <w:pPr>
        <w:pStyle w:val="ListParagraph"/>
        <w:jc w:val="both"/>
        <w:rPr>
          <w:rFonts w:ascii="Arial" w:eastAsia="Arial Unicode MS" w:hAnsi="Arial" w:cs="Arial"/>
          <w:szCs w:val="22"/>
        </w:rPr>
      </w:pPr>
      <w:r w:rsidRPr="00A90F70">
        <w:rPr>
          <w:rFonts w:ascii="Arial" w:eastAsia="Arial Unicode MS" w:hAnsi="Arial" w:cs="Arial"/>
          <w:szCs w:val="22"/>
        </w:rPr>
        <w:tab/>
      </w:r>
    </w:p>
    <w:p w14:paraId="6D2B4F91" w14:textId="77777777" w:rsidR="008667A5" w:rsidRDefault="008667A5" w:rsidP="008667A5">
      <w:pPr>
        <w:pStyle w:val="ListParagraph"/>
        <w:tabs>
          <w:tab w:val="left" w:pos="709"/>
        </w:tabs>
        <w:jc w:val="both"/>
        <w:rPr>
          <w:rFonts w:ascii="Arial" w:eastAsia="Arial Unicode MS" w:hAnsi="Arial" w:cs="Arial"/>
          <w:szCs w:val="22"/>
        </w:rPr>
      </w:pPr>
    </w:p>
    <w:p w14:paraId="31985D9F" w14:textId="77777777" w:rsidR="00A90F70" w:rsidRPr="00012647" w:rsidRDefault="00A90F70" w:rsidP="005D496E">
      <w:pPr>
        <w:pStyle w:val="ListParagraph"/>
        <w:numPr>
          <w:ilvl w:val="2"/>
          <w:numId w:val="12"/>
        </w:numPr>
        <w:tabs>
          <w:tab w:val="left" w:pos="709"/>
        </w:tabs>
        <w:jc w:val="both"/>
        <w:rPr>
          <w:rFonts w:ascii="Arial" w:eastAsia="Arial Unicode MS" w:hAnsi="Arial" w:cs="Arial"/>
          <w:szCs w:val="22"/>
        </w:rPr>
      </w:pPr>
      <w:r w:rsidRPr="00012647">
        <w:rPr>
          <w:rFonts w:ascii="Arial" w:eastAsia="Arial Unicode MS" w:hAnsi="Arial" w:cs="Arial"/>
          <w:szCs w:val="22"/>
        </w:rPr>
        <w:t>The total income from consumers for the reporting period include:</w:t>
      </w:r>
    </w:p>
    <w:p w14:paraId="3D4C5EA0" w14:textId="77777777" w:rsidR="00EB1B06" w:rsidRPr="00EB1B06" w:rsidRDefault="00EB1B06" w:rsidP="00EB1B06">
      <w:pPr>
        <w:pStyle w:val="ListParagraph"/>
        <w:rPr>
          <w:rFonts w:ascii="Arial" w:eastAsia="Arial Unicode MS" w:hAnsi="Arial" w:cs="Arial"/>
          <w:szCs w:val="22"/>
        </w:rPr>
      </w:pPr>
    </w:p>
    <w:p w14:paraId="35D6ED01" w14:textId="6C4128BD" w:rsidR="00871473" w:rsidRDefault="00A90F70" w:rsidP="005D496E">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Property</w:t>
      </w:r>
      <w:r w:rsidR="00B82D5A">
        <w:rPr>
          <w:rFonts w:ascii="Arial" w:eastAsia="Arial Unicode MS" w:hAnsi="Arial" w:cs="Arial"/>
          <w:szCs w:val="22"/>
        </w:rPr>
        <w:t xml:space="preserve"> Tax</w:t>
      </w:r>
      <w:r w:rsidRPr="00871473">
        <w:rPr>
          <w:rFonts w:ascii="Arial" w:eastAsia="Arial Unicode MS" w:hAnsi="Arial" w:cs="Arial"/>
          <w:szCs w:val="22"/>
        </w:rPr>
        <w:t>;</w:t>
      </w:r>
    </w:p>
    <w:p w14:paraId="114F00C7" w14:textId="77777777" w:rsidR="00871473" w:rsidRDefault="00A90F70" w:rsidP="005D496E">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Refuse;</w:t>
      </w:r>
    </w:p>
    <w:p w14:paraId="1EDD9BBA" w14:textId="77777777" w:rsidR="00871473" w:rsidRDefault="00A90F70" w:rsidP="005D496E">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Sewerage;</w:t>
      </w:r>
    </w:p>
    <w:p w14:paraId="36ABE259" w14:textId="77777777" w:rsidR="00871473" w:rsidRDefault="00A90F70" w:rsidP="005D496E">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Water;</w:t>
      </w:r>
    </w:p>
    <w:p w14:paraId="7B173783" w14:textId="77777777" w:rsidR="00871473" w:rsidRDefault="00512C00" w:rsidP="005D496E">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Electricity;</w:t>
      </w:r>
    </w:p>
    <w:p w14:paraId="44B98BDC" w14:textId="77777777" w:rsidR="00871473" w:rsidRDefault="00A90F70" w:rsidP="005D496E">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Interest; and</w:t>
      </w:r>
    </w:p>
    <w:p w14:paraId="1D3746B9" w14:textId="77777777" w:rsidR="00A90F70" w:rsidRDefault="001E6881" w:rsidP="005D496E">
      <w:pPr>
        <w:pStyle w:val="ListParagraph"/>
        <w:numPr>
          <w:ilvl w:val="0"/>
          <w:numId w:val="15"/>
        </w:numPr>
        <w:ind w:left="1134" w:hanging="283"/>
        <w:jc w:val="both"/>
        <w:rPr>
          <w:rFonts w:ascii="Arial" w:eastAsia="Arial Unicode MS" w:hAnsi="Arial" w:cs="Arial"/>
          <w:szCs w:val="22"/>
        </w:rPr>
      </w:pPr>
      <w:r w:rsidRPr="00871473">
        <w:rPr>
          <w:rFonts w:ascii="Arial" w:eastAsia="Arial Unicode MS" w:hAnsi="Arial" w:cs="Arial"/>
          <w:szCs w:val="22"/>
        </w:rPr>
        <w:t>Sundry Charges</w:t>
      </w:r>
      <w:r w:rsidR="00871473">
        <w:rPr>
          <w:rFonts w:ascii="Arial" w:eastAsia="Arial Unicode MS" w:hAnsi="Arial" w:cs="Arial"/>
          <w:szCs w:val="22"/>
        </w:rPr>
        <w:t>.</w:t>
      </w:r>
    </w:p>
    <w:p w14:paraId="6CA0EBD7" w14:textId="77777777" w:rsidR="00871473" w:rsidRDefault="00871473" w:rsidP="00AF5686">
      <w:pPr>
        <w:pStyle w:val="Heading1"/>
        <w:numPr>
          <w:ilvl w:val="0"/>
          <w:numId w:val="0"/>
        </w:numPr>
        <w:tabs>
          <w:tab w:val="clear" w:pos="1260"/>
          <w:tab w:val="left" w:pos="851"/>
        </w:tabs>
        <w:ind w:left="851"/>
      </w:pPr>
    </w:p>
    <w:p w14:paraId="74847FA1" w14:textId="22B49CCA" w:rsidR="00F35B78" w:rsidRDefault="00587EB4" w:rsidP="00587EB4">
      <w:pPr>
        <w:pStyle w:val="ListParagraph"/>
        <w:numPr>
          <w:ilvl w:val="2"/>
          <w:numId w:val="12"/>
        </w:numPr>
        <w:tabs>
          <w:tab w:val="left" w:pos="709"/>
        </w:tabs>
        <w:jc w:val="both"/>
        <w:rPr>
          <w:rFonts w:ascii="Arial" w:hAnsi="Arial" w:cs="Arial"/>
        </w:rPr>
      </w:pPr>
      <w:r>
        <w:rPr>
          <w:rFonts w:ascii="Arial" w:hAnsi="Arial" w:cs="Arial"/>
        </w:rPr>
        <w:t>The total income from receivables from exchange and non-exchange transactions include:</w:t>
      </w:r>
    </w:p>
    <w:p w14:paraId="05EFBE0A" w14:textId="77777777" w:rsidR="00B82D5A" w:rsidRDefault="00B82D5A" w:rsidP="008B7D90">
      <w:pPr>
        <w:pStyle w:val="ListParagraph"/>
        <w:tabs>
          <w:tab w:val="left" w:pos="709"/>
        </w:tabs>
        <w:jc w:val="both"/>
        <w:rPr>
          <w:rFonts w:ascii="Arial" w:hAnsi="Arial" w:cs="Arial"/>
        </w:rPr>
      </w:pPr>
    </w:p>
    <w:p w14:paraId="4273C378" w14:textId="4601507A" w:rsidR="00587EB4" w:rsidRDefault="00B82D5A" w:rsidP="00587EB4">
      <w:pPr>
        <w:pStyle w:val="ListParagraph"/>
        <w:numPr>
          <w:ilvl w:val="0"/>
          <w:numId w:val="15"/>
        </w:numPr>
        <w:ind w:left="1134" w:hanging="283"/>
        <w:jc w:val="both"/>
        <w:rPr>
          <w:rFonts w:ascii="Arial" w:hAnsi="Arial" w:cs="Arial"/>
        </w:rPr>
      </w:pPr>
      <w:r w:rsidRPr="00B82D5A">
        <w:rPr>
          <w:rFonts w:ascii="Arial" w:hAnsi="Arial" w:cs="Arial"/>
        </w:rPr>
        <w:t>Agency services</w:t>
      </w:r>
      <w:r>
        <w:rPr>
          <w:rFonts w:ascii="Arial" w:hAnsi="Arial" w:cs="Arial"/>
        </w:rPr>
        <w:t>;</w:t>
      </w:r>
    </w:p>
    <w:p w14:paraId="405B5DB7" w14:textId="5BDEE362" w:rsidR="00B82D5A" w:rsidRPr="00B82D5A" w:rsidRDefault="00B82D5A" w:rsidP="00B82D5A">
      <w:pPr>
        <w:pStyle w:val="ListParagraph"/>
        <w:numPr>
          <w:ilvl w:val="0"/>
          <w:numId w:val="15"/>
        </w:numPr>
        <w:jc w:val="both"/>
        <w:rPr>
          <w:rFonts w:ascii="Arial" w:hAnsi="Arial" w:cs="Arial"/>
        </w:rPr>
      </w:pPr>
      <w:r w:rsidRPr="00B82D5A">
        <w:rPr>
          <w:rFonts w:ascii="Arial" w:hAnsi="Arial" w:cs="Arial"/>
        </w:rPr>
        <w:t>Licences and permits</w:t>
      </w:r>
      <w:r>
        <w:rPr>
          <w:rFonts w:ascii="Arial" w:hAnsi="Arial" w:cs="Arial"/>
        </w:rPr>
        <w:t>;</w:t>
      </w:r>
    </w:p>
    <w:p w14:paraId="0C270BF4" w14:textId="26C0334F" w:rsidR="00B82D5A" w:rsidRPr="00B82D5A" w:rsidRDefault="00B82D5A" w:rsidP="00B82D5A">
      <w:pPr>
        <w:pStyle w:val="ListParagraph"/>
        <w:numPr>
          <w:ilvl w:val="0"/>
          <w:numId w:val="15"/>
        </w:numPr>
        <w:jc w:val="both"/>
        <w:rPr>
          <w:rFonts w:ascii="Arial" w:hAnsi="Arial" w:cs="Arial"/>
        </w:rPr>
      </w:pPr>
      <w:r w:rsidRPr="00B82D5A">
        <w:rPr>
          <w:rFonts w:ascii="Arial" w:hAnsi="Arial" w:cs="Arial"/>
        </w:rPr>
        <w:t>Operational revenue</w:t>
      </w:r>
      <w:r>
        <w:rPr>
          <w:rFonts w:ascii="Arial" w:hAnsi="Arial" w:cs="Arial"/>
        </w:rPr>
        <w:t>;</w:t>
      </w:r>
    </w:p>
    <w:p w14:paraId="51023448" w14:textId="0564421B" w:rsidR="00B82D5A" w:rsidRPr="00B82D5A" w:rsidRDefault="00B82D5A" w:rsidP="00B82D5A">
      <w:pPr>
        <w:pStyle w:val="ListParagraph"/>
        <w:numPr>
          <w:ilvl w:val="0"/>
          <w:numId w:val="15"/>
        </w:numPr>
        <w:jc w:val="both"/>
        <w:rPr>
          <w:rFonts w:ascii="Arial" w:hAnsi="Arial" w:cs="Arial"/>
        </w:rPr>
      </w:pPr>
      <w:r w:rsidRPr="00B82D5A">
        <w:rPr>
          <w:rFonts w:ascii="Arial" w:hAnsi="Arial" w:cs="Arial"/>
        </w:rPr>
        <w:t>Rental of facilities and equipment</w:t>
      </w:r>
      <w:r>
        <w:rPr>
          <w:rFonts w:ascii="Arial" w:hAnsi="Arial" w:cs="Arial"/>
        </w:rPr>
        <w:t>;</w:t>
      </w:r>
    </w:p>
    <w:p w14:paraId="5C9C812D" w14:textId="06C66E82" w:rsidR="00B82D5A" w:rsidRPr="00B82D5A" w:rsidRDefault="00B82D5A" w:rsidP="00B82D5A">
      <w:pPr>
        <w:pStyle w:val="ListParagraph"/>
        <w:numPr>
          <w:ilvl w:val="0"/>
          <w:numId w:val="15"/>
        </w:numPr>
        <w:jc w:val="both"/>
        <w:rPr>
          <w:rFonts w:ascii="Arial" w:hAnsi="Arial" w:cs="Arial"/>
        </w:rPr>
      </w:pPr>
      <w:r w:rsidRPr="00B82D5A">
        <w:rPr>
          <w:rFonts w:ascii="Arial" w:hAnsi="Arial" w:cs="Arial"/>
        </w:rPr>
        <w:t>Rendering of services</w:t>
      </w:r>
      <w:r>
        <w:rPr>
          <w:rFonts w:ascii="Arial" w:hAnsi="Arial" w:cs="Arial"/>
        </w:rPr>
        <w:t>;</w:t>
      </w:r>
    </w:p>
    <w:p w14:paraId="377255BD" w14:textId="1F21AFF1" w:rsidR="00B82D5A" w:rsidRDefault="00B82D5A" w:rsidP="00B82D5A">
      <w:pPr>
        <w:pStyle w:val="ListParagraph"/>
        <w:numPr>
          <w:ilvl w:val="0"/>
          <w:numId w:val="15"/>
        </w:numPr>
        <w:jc w:val="both"/>
        <w:rPr>
          <w:rFonts w:ascii="Arial" w:hAnsi="Arial" w:cs="Arial"/>
        </w:rPr>
      </w:pPr>
      <w:r w:rsidRPr="00B82D5A">
        <w:rPr>
          <w:rFonts w:ascii="Arial" w:hAnsi="Arial" w:cs="Arial"/>
        </w:rPr>
        <w:t>Sale of goods</w:t>
      </w:r>
      <w:r>
        <w:rPr>
          <w:rFonts w:ascii="Arial" w:hAnsi="Arial" w:cs="Arial"/>
        </w:rPr>
        <w:t>;</w:t>
      </w:r>
    </w:p>
    <w:p w14:paraId="1E1289DC" w14:textId="5303E61B" w:rsidR="00B82D5A" w:rsidRDefault="00B82D5A" w:rsidP="00B82D5A">
      <w:pPr>
        <w:pStyle w:val="ListParagraph"/>
        <w:numPr>
          <w:ilvl w:val="0"/>
          <w:numId w:val="15"/>
        </w:numPr>
        <w:jc w:val="both"/>
        <w:rPr>
          <w:rFonts w:ascii="Arial" w:hAnsi="Arial" w:cs="Arial"/>
        </w:rPr>
      </w:pPr>
      <w:r w:rsidRPr="00B82D5A">
        <w:rPr>
          <w:rFonts w:ascii="Arial" w:hAnsi="Arial" w:cs="Arial"/>
        </w:rPr>
        <w:t>Fines, penalties and forfeits</w:t>
      </w:r>
      <w:r w:rsidR="0051003A">
        <w:rPr>
          <w:rFonts w:ascii="Arial" w:hAnsi="Arial" w:cs="Arial"/>
        </w:rPr>
        <w:t xml:space="preserve">; </w:t>
      </w:r>
      <w:r w:rsidR="008B7D90">
        <w:rPr>
          <w:rFonts w:ascii="Arial" w:hAnsi="Arial" w:cs="Arial"/>
        </w:rPr>
        <w:t>and</w:t>
      </w:r>
    </w:p>
    <w:p w14:paraId="48F06B32" w14:textId="09F9FAB0" w:rsidR="00B82D5A" w:rsidRDefault="00B82D5A" w:rsidP="00B82D5A">
      <w:pPr>
        <w:pStyle w:val="ListParagraph"/>
        <w:numPr>
          <w:ilvl w:val="0"/>
          <w:numId w:val="15"/>
        </w:numPr>
        <w:jc w:val="both"/>
        <w:rPr>
          <w:rFonts w:ascii="Arial" w:hAnsi="Arial" w:cs="Arial"/>
        </w:rPr>
      </w:pPr>
      <w:r w:rsidRPr="00B82D5A">
        <w:rPr>
          <w:rFonts w:ascii="Arial" w:hAnsi="Arial" w:cs="Arial"/>
        </w:rPr>
        <w:t>Other transfers</w:t>
      </w:r>
    </w:p>
    <w:p w14:paraId="100BEADC" w14:textId="44E5906D" w:rsidR="00B82D5A" w:rsidRDefault="00B82D5A" w:rsidP="00B82D5A">
      <w:pPr>
        <w:jc w:val="both"/>
        <w:rPr>
          <w:rFonts w:ascii="Arial" w:hAnsi="Arial" w:cs="Arial"/>
        </w:rPr>
      </w:pPr>
    </w:p>
    <w:p w14:paraId="35E27971" w14:textId="42812855" w:rsidR="001D0990" w:rsidRDefault="001D0990" w:rsidP="00B82D5A">
      <w:pPr>
        <w:jc w:val="both"/>
        <w:rPr>
          <w:rFonts w:ascii="Arial" w:hAnsi="Arial" w:cs="Arial"/>
        </w:rPr>
      </w:pPr>
    </w:p>
    <w:p w14:paraId="6FF50F48" w14:textId="6CE19065" w:rsidR="001D0990" w:rsidRDefault="001D0990" w:rsidP="00B82D5A">
      <w:pPr>
        <w:jc w:val="both"/>
        <w:rPr>
          <w:rFonts w:ascii="Arial" w:hAnsi="Arial" w:cs="Arial"/>
        </w:rPr>
      </w:pPr>
    </w:p>
    <w:p w14:paraId="246D6D5A" w14:textId="5473DFD9" w:rsidR="001D0990" w:rsidRDefault="001D0990" w:rsidP="00B82D5A">
      <w:pPr>
        <w:jc w:val="both"/>
        <w:rPr>
          <w:rFonts w:ascii="Arial" w:hAnsi="Arial" w:cs="Arial"/>
        </w:rPr>
      </w:pPr>
    </w:p>
    <w:p w14:paraId="7C5F6198" w14:textId="6C5BC643" w:rsidR="001D0990" w:rsidRDefault="001D0990" w:rsidP="00B82D5A">
      <w:pPr>
        <w:jc w:val="both"/>
        <w:rPr>
          <w:rFonts w:ascii="Arial" w:hAnsi="Arial" w:cs="Arial"/>
        </w:rPr>
      </w:pPr>
    </w:p>
    <w:p w14:paraId="1A212C51" w14:textId="77777777" w:rsidR="00012647" w:rsidRDefault="00871473" w:rsidP="00871473">
      <w:pPr>
        <w:pStyle w:val="Heading1"/>
        <w:numPr>
          <w:ilvl w:val="0"/>
          <w:numId w:val="0"/>
        </w:numPr>
        <w:tabs>
          <w:tab w:val="clear" w:pos="1260"/>
          <w:tab w:val="left" w:pos="851"/>
        </w:tabs>
        <w:ind w:left="1080" w:hanging="1080"/>
      </w:pPr>
      <w:bookmarkStart w:id="31" w:name="_Toc17119798"/>
      <w:bookmarkStart w:id="32" w:name="_Toc17120070"/>
      <w:r w:rsidRPr="00871473">
        <w:rPr>
          <w:u w:val="none"/>
        </w:rPr>
        <w:t>6.</w:t>
      </w:r>
      <w:r w:rsidRPr="00871473">
        <w:rPr>
          <w:u w:val="none"/>
        </w:rPr>
        <w:tab/>
      </w:r>
      <w:bookmarkStart w:id="33" w:name="OLE_LINK7"/>
      <w:r w:rsidR="00012647">
        <w:t>DISCOUNT RATE</w:t>
      </w:r>
      <w:bookmarkEnd w:id="31"/>
      <w:bookmarkEnd w:id="32"/>
    </w:p>
    <w:p w14:paraId="05ADD767" w14:textId="77777777" w:rsidR="00012647" w:rsidRDefault="00012647"/>
    <w:p w14:paraId="792D31D4" w14:textId="77777777" w:rsidR="00492538" w:rsidRPr="00871473" w:rsidRDefault="00492538" w:rsidP="00871473">
      <w:pPr>
        <w:pStyle w:val="BodyText"/>
        <w:tabs>
          <w:tab w:val="left" w:pos="851"/>
        </w:tabs>
        <w:spacing w:line="240" w:lineRule="auto"/>
        <w:ind w:left="851" w:right="-7" w:hanging="851"/>
        <w:rPr>
          <w:sz w:val="22"/>
          <w:szCs w:val="22"/>
        </w:rPr>
      </w:pPr>
      <w:r>
        <w:rPr>
          <w:sz w:val="22"/>
          <w:szCs w:val="22"/>
        </w:rPr>
        <w:t>6.1</w:t>
      </w:r>
      <w:r>
        <w:rPr>
          <w:sz w:val="22"/>
          <w:szCs w:val="22"/>
        </w:rPr>
        <w:tab/>
      </w:r>
      <w:r w:rsidR="00B810C6">
        <w:rPr>
          <w:sz w:val="22"/>
          <w:szCs w:val="22"/>
        </w:rPr>
        <w:t xml:space="preserve">The rate used to discount future cash flows will be the rate as per the approved tariff register </w:t>
      </w:r>
      <w:r w:rsidR="0045736B">
        <w:rPr>
          <w:sz w:val="22"/>
          <w:szCs w:val="22"/>
        </w:rPr>
        <w:t>(i.e.</w:t>
      </w:r>
      <w:r w:rsidR="00B810C6">
        <w:rPr>
          <w:sz w:val="22"/>
          <w:szCs w:val="22"/>
        </w:rPr>
        <w:t xml:space="preserve"> </w:t>
      </w:r>
      <w:r w:rsidRPr="00871473">
        <w:rPr>
          <w:sz w:val="22"/>
          <w:szCs w:val="22"/>
        </w:rPr>
        <w:t xml:space="preserve"> </w:t>
      </w:r>
      <w:r w:rsidR="00B810C6">
        <w:rPr>
          <w:sz w:val="22"/>
          <w:szCs w:val="22"/>
        </w:rPr>
        <w:t>the interest rate)</w:t>
      </w:r>
    </w:p>
    <w:p w14:paraId="55DD80AF" w14:textId="77777777" w:rsidR="006D78CE" w:rsidRPr="00871473" w:rsidRDefault="006D78CE" w:rsidP="00871473">
      <w:pPr>
        <w:pStyle w:val="BodyText"/>
        <w:tabs>
          <w:tab w:val="left" w:pos="851"/>
        </w:tabs>
        <w:spacing w:line="240" w:lineRule="auto"/>
        <w:ind w:left="851" w:right="-7" w:hanging="851"/>
        <w:rPr>
          <w:sz w:val="22"/>
          <w:szCs w:val="22"/>
        </w:rPr>
      </w:pPr>
    </w:p>
    <w:p w14:paraId="2D9E9E5B" w14:textId="77777777" w:rsidR="00012647" w:rsidRPr="00871473" w:rsidRDefault="00012647" w:rsidP="005D496E">
      <w:pPr>
        <w:pStyle w:val="BodyText"/>
        <w:numPr>
          <w:ilvl w:val="1"/>
          <w:numId w:val="13"/>
        </w:numPr>
        <w:tabs>
          <w:tab w:val="left" w:pos="851"/>
        </w:tabs>
        <w:spacing w:line="240" w:lineRule="auto"/>
        <w:ind w:left="851" w:right="-7" w:hanging="851"/>
        <w:rPr>
          <w:sz w:val="22"/>
          <w:szCs w:val="22"/>
        </w:rPr>
      </w:pPr>
      <w:r w:rsidRPr="00871473">
        <w:rPr>
          <w:sz w:val="22"/>
          <w:szCs w:val="22"/>
        </w:rPr>
        <w:t xml:space="preserve">The </w:t>
      </w:r>
      <w:r w:rsidR="00B810C6">
        <w:rPr>
          <w:sz w:val="22"/>
          <w:szCs w:val="22"/>
        </w:rPr>
        <w:t>discount rate</w:t>
      </w:r>
      <w:r w:rsidRPr="00871473">
        <w:rPr>
          <w:sz w:val="22"/>
          <w:szCs w:val="22"/>
        </w:rPr>
        <w:t xml:space="preserve"> is adjusted with a premium per risk category. The following is taken into account in determining the</w:t>
      </w:r>
      <w:r w:rsidRPr="00871473">
        <w:rPr>
          <w:spacing w:val="-5"/>
          <w:sz w:val="22"/>
          <w:szCs w:val="22"/>
        </w:rPr>
        <w:t xml:space="preserve"> </w:t>
      </w:r>
      <w:r w:rsidRPr="00871473">
        <w:rPr>
          <w:sz w:val="22"/>
          <w:szCs w:val="22"/>
        </w:rPr>
        <w:t>premium:</w:t>
      </w:r>
    </w:p>
    <w:p w14:paraId="392DC84C" w14:textId="77777777" w:rsidR="006D78CE" w:rsidRPr="00871473" w:rsidRDefault="006D78CE" w:rsidP="00871473">
      <w:pPr>
        <w:pStyle w:val="BodyText"/>
        <w:tabs>
          <w:tab w:val="left" w:pos="851"/>
        </w:tabs>
        <w:spacing w:line="240" w:lineRule="auto"/>
        <w:ind w:left="530" w:right="-7"/>
        <w:rPr>
          <w:sz w:val="22"/>
          <w:szCs w:val="22"/>
        </w:rPr>
      </w:pPr>
    </w:p>
    <w:p w14:paraId="2C69F124" w14:textId="77777777" w:rsidR="006D78CE" w:rsidRPr="00871473" w:rsidRDefault="006D78CE" w:rsidP="00871473">
      <w:pPr>
        <w:pStyle w:val="ListParagraph"/>
        <w:widowControl w:val="0"/>
        <w:tabs>
          <w:tab w:val="left" w:pos="1299"/>
          <w:tab w:val="left" w:pos="1300"/>
        </w:tabs>
        <w:autoSpaceDE w:val="0"/>
        <w:autoSpaceDN w:val="0"/>
        <w:spacing w:line="240" w:lineRule="auto"/>
        <w:ind w:left="851" w:right="-7"/>
        <w:rPr>
          <w:rFonts w:ascii="Arial" w:hAnsi="Arial" w:cs="Arial"/>
          <w:szCs w:val="22"/>
        </w:rPr>
      </w:pPr>
    </w:p>
    <w:p w14:paraId="7754AA45" w14:textId="77777777" w:rsidR="006D78CE" w:rsidRPr="00871473" w:rsidRDefault="00492538" w:rsidP="005D496E">
      <w:pPr>
        <w:pStyle w:val="ListParagraph"/>
        <w:widowControl w:val="0"/>
        <w:numPr>
          <w:ilvl w:val="2"/>
          <w:numId w:val="13"/>
        </w:numPr>
        <w:tabs>
          <w:tab w:val="left" w:pos="1299"/>
          <w:tab w:val="left" w:pos="1300"/>
        </w:tabs>
        <w:autoSpaceDE w:val="0"/>
        <w:autoSpaceDN w:val="0"/>
        <w:spacing w:line="240" w:lineRule="auto"/>
        <w:ind w:left="851" w:right="-7" w:hanging="851"/>
        <w:rPr>
          <w:rFonts w:ascii="Arial" w:hAnsi="Arial" w:cs="Arial"/>
          <w:szCs w:val="22"/>
        </w:rPr>
      </w:pPr>
      <w:r w:rsidRPr="00871473">
        <w:rPr>
          <w:rFonts w:ascii="Arial" w:hAnsi="Arial" w:cs="Arial"/>
          <w:szCs w:val="22"/>
        </w:rPr>
        <w:t>The h</w:t>
      </w:r>
      <w:r w:rsidR="00012647" w:rsidRPr="00871473">
        <w:rPr>
          <w:rFonts w:ascii="Arial" w:hAnsi="Arial" w:cs="Arial"/>
          <w:szCs w:val="22"/>
        </w:rPr>
        <w:t>istory of bad debts written</w:t>
      </w:r>
      <w:r w:rsidR="00012647" w:rsidRPr="00871473">
        <w:rPr>
          <w:rFonts w:ascii="Arial" w:hAnsi="Arial" w:cs="Arial"/>
          <w:spacing w:val="-2"/>
          <w:szCs w:val="22"/>
        </w:rPr>
        <w:t xml:space="preserve"> </w:t>
      </w:r>
      <w:r w:rsidR="00012647" w:rsidRPr="00871473">
        <w:rPr>
          <w:rFonts w:ascii="Arial" w:hAnsi="Arial" w:cs="Arial"/>
          <w:szCs w:val="22"/>
        </w:rPr>
        <w:t>off;</w:t>
      </w:r>
    </w:p>
    <w:p w14:paraId="0615221D" w14:textId="77777777" w:rsidR="006D78CE" w:rsidRPr="00871473" w:rsidRDefault="006D78CE" w:rsidP="00871473">
      <w:pPr>
        <w:pStyle w:val="ListParagraph"/>
        <w:widowControl w:val="0"/>
        <w:tabs>
          <w:tab w:val="left" w:pos="1299"/>
          <w:tab w:val="left" w:pos="1300"/>
        </w:tabs>
        <w:autoSpaceDE w:val="0"/>
        <w:autoSpaceDN w:val="0"/>
        <w:spacing w:line="240" w:lineRule="auto"/>
        <w:ind w:left="851" w:right="-7"/>
        <w:rPr>
          <w:rFonts w:ascii="Arial" w:hAnsi="Arial" w:cs="Arial"/>
          <w:szCs w:val="22"/>
        </w:rPr>
      </w:pPr>
    </w:p>
    <w:p w14:paraId="73CA6E8D" w14:textId="77777777" w:rsidR="006D78CE" w:rsidRPr="00871473" w:rsidRDefault="00012647" w:rsidP="005D496E">
      <w:pPr>
        <w:pStyle w:val="ListParagraph"/>
        <w:widowControl w:val="0"/>
        <w:numPr>
          <w:ilvl w:val="2"/>
          <w:numId w:val="13"/>
        </w:numPr>
        <w:tabs>
          <w:tab w:val="left" w:pos="1299"/>
          <w:tab w:val="left" w:pos="1300"/>
        </w:tabs>
        <w:autoSpaceDE w:val="0"/>
        <w:autoSpaceDN w:val="0"/>
        <w:spacing w:line="240" w:lineRule="auto"/>
        <w:ind w:left="851" w:right="-7" w:hanging="851"/>
        <w:rPr>
          <w:rFonts w:ascii="Arial" w:hAnsi="Arial" w:cs="Arial"/>
          <w:szCs w:val="22"/>
        </w:rPr>
      </w:pPr>
      <w:r w:rsidRPr="00871473">
        <w:rPr>
          <w:rFonts w:ascii="Arial" w:hAnsi="Arial" w:cs="Arial"/>
          <w:szCs w:val="22"/>
        </w:rPr>
        <w:t>Effectiveness of the debt collection processes;</w:t>
      </w:r>
      <w:r w:rsidR="00871473">
        <w:rPr>
          <w:rFonts w:ascii="Arial" w:hAnsi="Arial" w:cs="Arial"/>
          <w:szCs w:val="22"/>
        </w:rPr>
        <w:t xml:space="preserve"> and</w:t>
      </w:r>
    </w:p>
    <w:p w14:paraId="38000405" w14:textId="77777777" w:rsidR="006D78CE" w:rsidRPr="00871473" w:rsidRDefault="006D78CE" w:rsidP="00871473">
      <w:pPr>
        <w:pStyle w:val="ListParagraph"/>
        <w:widowControl w:val="0"/>
        <w:tabs>
          <w:tab w:val="left" w:pos="1299"/>
          <w:tab w:val="left" w:pos="1300"/>
        </w:tabs>
        <w:autoSpaceDE w:val="0"/>
        <w:autoSpaceDN w:val="0"/>
        <w:spacing w:line="240" w:lineRule="auto"/>
        <w:ind w:left="851" w:right="-7"/>
        <w:rPr>
          <w:rFonts w:ascii="Arial" w:hAnsi="Arial" w:cs="Arial"/>
          <w:szCs w:val="22"/>
        </w:rPr>
      </w:pPr>
    </w:p>
    <w:p w14:paraId="73A703C3" w14:textId="77777777" w:rsidR="00012647" w:rsidRPr="00871473" w:rsidRDefault="00012647" w:rsidP="00A951FE">
      <w:pPr>
        <w:pStyle w:val="ListParagraph"/>
        <w:widowControl w:val="0"/>
        <w:tabs>
          <w:tab w:val="left" w:pos="1299"/>
          <w:tab w:val="left" w:pos="1300"/>
        </w:tabs>
        <w:autoSpaceDE w:val="0"/>
        <w:autoSpaceDN w:val="0"/>
        <w:spacing w:line="240" w:lineRule="auto"/>
        <w:ind w:left="851" w:right="-7"/>
        <w:rPr>
          <w:rFonts w:ascii="Arial" w:hAnsi="Arial" w:cs="Arial"/>
          <w:szCs w:val="22"/>
        </w:rPr>
      </w:pPr>
    </w:p>
    <w:p w14:paraId="151CB45E" w14:textId="77777777" w:rsidR="00012647" w:rsidRDefault="00012647" w:rsidP="005D496E">
      <w:pPr>
        <w:pStyle w:val="BodyText"/>
        <w:numPr>
          <w:ilvl w:val="1"/>
          <w:numId w:val="13"/>
        </w:numPr>
        <w:tabs>
          <w:tab w:val="left" w:pos="851"/>
        </w:tabs>
        <w:spacing w:line="240" w:lineRule="auto"/>
        <w:ind w:left="851" w:right="-7" w:hanging="851"/>
        <w:rPr>
          <w:sz w:val="22"/>
          <w:szCs w:val="22"/>
        </w:rPr>
      </w:pPr>
      <w:r w:rsidRPr="00871473">
        <w:rPr>
          <w:sz w:val="22"/>
          <w:szCs w:val="22"/>
        </w:rPr>
        <w:t xml:space="preserve">Based on the above risk factors identified the </w:t>
      </w:r>
      <w:r w:rsidR="00B810C6">
        <w:rPr>
          <w:sz w:val="22"/>
          <w:szCs w:val="22"/>
        </w:rPr>
        <w:t>discount rate</w:t>
      </w:r>
      <w:r w:rsidRPr="00871473">
        <w:rPr>
          <w:sz w:val="22"/>
          <w:szCs w:val="22"/>
        </w:rPr>
        <w:t xml:space="preserve"> is adjusted with the following premium</w:t>
      </w:r>
      <w:r w:rsidR="006D78CE" w:rsidRPr="00871473">
        <w:rPr>
          <w:sz w:val="22"/>
          <w:szCs w:val="22"/>
        </w:rPr>
        <w:t>:</w:t>
      </w:r>
    </w:p>
    <w:bookmarkEnd w:id="33"/>
    <w:p w14:paraId="094024DC" w14:textId="77777777" w:rsidR="00871473" w:rsidRPr="00871473" w:rsidRDefault="00871473" w:rsidP="00871473">
      <w:pPr>
        <w:pStyle w:val="BodyText"/>
        <w:tabs>
          <w:tab w:val="left" w:pos="851"/>
        </w:tabs>
        <w:spacing w:line="240" w:lineRule="auto"/>
        <w:ind w:left="851" w:right="-7"/>
        <w:rPr>
          <w:sz w:val="22"/>
          <w:szCs w:val="22"/>
        </w:rPr>
      </w:pPr>
    </w:p>
    <w:tbl>
      <w:tblPr>
        <w:tblW w:w="779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5245"/>
      </w:tblGrid>
      <w:tr w:rsidR="00012647" w14:paraId="41127800" w14:textId="77777777" w:rsidTr="00871473">
        <w:trPr>
          <w:trHeight w:val="386"/>
        </w:trPr>
        <w:tc>
          <w:tcPr>
            <w:tcW w:w="2551" w:type="dxa"/>
            <w:shd w:val="clear" w:color="auto" w:fill="DADADA"/>
            <w:vAlign w:val="center"/>
          </w:tcPr>
          <w:p w14:paraId="7CD2D3ED" w14:textId="77777777" w:rsidR="00012647" w:rsidRDefault="00012647" w:rsidP="006D78CE">
            <w:pPr>
              <w:pStyle w:val="TableParagraph"/>
              <w:spacing w:line="256" w:lineRule="exact"/>
              <w:jc w:val="center"/>
              <w:rPr>
                <w:b/>
                <w:sz w:val="24"/>
              </w:rPr>
            </w:pPr>
            <w:r>
              <w:rPr>
                <w:b/>
                <w:sz w:val="24"/>
              </w:rPr>
              <w:t>Risk category</w:t>
            </w:r>
          </w:p>
        </w:tc>
        <w:tc>
          <w:tcPr>
            <w:tcW w:w="5245" w:type="dxa"/>
            <w:shd w:val="clear" w:color="auto" w:fill="DADADA"/>
            <w:vAlign w:val="center"/>
          </w:tcPr>
          <w:p w14:paraId="3F191A4B" w14:textId="77777777" w:rsidR="00012647" w:rsidRDefault="00012647" w:rsidP="006D78CE">
            <w:pPr>
              <w:pStyle w:val="TableParagraph"/>
              <w:spacing w:line="256" w:lineRule="exact"/>
              <w:ind w:left="294" w:right="287"/>
              <w:jc w:val="center"/>
              <w:rPr>
                <w:b/>
                <w:sz w:val="24"/>
              </w:rPr>
            </w:pPr>
            <w:r>
              <w:rPr>
                <w:b/>
                <w:sz w:val="24"/>
              </w:rPr>
              <w:t>Premium adjustment</w:t>
            </w:r>
          </w:p>
        </w:tc>
      </w:tr>
      <w:tr w:rsidR="00012647" w14:paraId="2BCDAAE0" w14:textId="77777777" w:rsidTr="00871473">
        <w:trPr>
          <w:trHeight w:val="553"/>
        </w:trPr>
        <w:tc>
          <w:tcPr>
            <w:tcW w:w="2551" w:type="dxa"/>
            <w:vAlign w:val="center"/>
          </w:tcPr>
          <w:p w14:paraId="7C928026" w14:textId="77777777" w:rsidR="00012647" w:rsidRDefault="00012647" w:rsidP="00871473">
            <w:pPr>
              <w:pStyle w:val="TableParagraph"/>
              <w:spacing w:line="256" w:lineRule="exact"/>
              <w:rPr>
                <w:sz w:val="24"/>
              </w:rPr>
            </w:pPr>
            <w:r>
              <w:rPr>
                <w:sz w:val="24"/>
              </w:rPr>
              <w:t>High risk</w:t>
            </w:r>
          </w:p>
        </w:tc>
        <w:tc>
          <w:tcPr>
            <w:tcW w:w="5245" w:type="dxa"/>
            <w:vAlign w:val="center"/>
          </w:tcPr>
          <w:p w14:paraId="1B4B1E14" w14:textId="77777777" w:rsidR="00012647" w:rsidRDefault="00012647" w:rsidP="00871473">
            <w:pPr>
              <w:pStyle w:val="TableParagraph"/>
              <w:spacing w:line="256" w:lineRule="exact"/>
              <w:ind w:right="282"/>
              <w:rPr>
                <w:sz w:val="24"/>
              </w:rPr>
            </w:pPr>
            <w:r>
              <w:rPr>
                <w:sz w:val="24"/>
              </w:rPr>
              <w:t>1.25%</w:t>
            </w:r>
          </w:p>
        </w:tc>
      </w:tr>
      <w:tr w:rsidR="006D78CE" w14:paraId="3B437862" w14:textId="77777777" w:rsidTr="00871473">
        <w:trPr>
          <w:trHeight w:val="553"/>
        </w:trPr>
        <w:tc>
          <w:tcPr>
            <w:tcW w:w="2551" w:type="dxa"/>
            <w:vAlign w:val="center"/>
          </w:tcPr>
          <w:p w14:paraId="0C212367" w14:textId="77777777" w:rsidR="006D78CE" w:rsidRDefault="006D78CE" w:rsidP="00871473">
            <w:pPr>
              <w:pStyle w:val="TableParagraph"/>
              <w:spacing w:line="256" w:lineRule="exact"/>
              <w:ind w:left="0"/>
              <w:rPr>
                <w:sz w:val="24"/>
              </w:rPr>
            </w:pPr>
            <w:r>
              <w:rPr>
                <w:sz w:val="24"/>
              </w:rPr>
              <w:t xml:space="preserve"> Medium risk</w:t>
            </w:r>
          </w:p>
        </w:tc>
        <w:tc>
          <w:tcPr>
            <w:tcW w:w="5245" w:type="dxa"/>
            <w:vAlign w:val="center"/>
          </w:tcPr>
          <w:p w14:paraId="6E57D997" w14:textId="77777777" w:rsidR="006D78CE" w:rsidRDefault="00871473" w:rsidP="00871473">
            <w:pPr>
              <w:pStyle w:val="TableParagraph"/>
              <w:spacing w:line="258" w:lineRule="exact"/>
              <w:ind w:right="282"/>
              <w:jc w:val="both"/>
              <w:rPr>
                <w:sz w:val="24"/>
              </w:rPr>
            </w:pPr>
            <w:r>
              <w:rPr>
                <w:sz w:val="24"/>
              </w:rPr>
              <w:t>1%</w:t>
            </w:r>
          </w:p>
        </w:tc>
      </w:tr>
      <w:tr w:rsidR="006D78CE" w14:paraId="77E1CBF5" w14:textId="77777777" w:rsidTr="00871473">
        <w:trPr>
          <w:trHeight w:val="985"/>
        </w:trPr>
        <w:tc>
          <w:tcPr>
            <w:tcW w:w="2551" w:type="dxa"/>
            <w:vAlign w:val="center"/>
          </w:tcPr>
          <w:p w14:paraId="266E0B44" w14:textId="77777777" w:rsidR="006D78CE" w:rsidRDefault="006D78CE" w:rsidP="00871473">
            <w:pPr>
              <w:pStyle w:val="TableParagraph"/>
              <w:spacing w:line="258" w:lineRule="exact"/>
              <w:rPr>
                <w:sz w:val="24"/>
              </w:rPr>
            </w:pPr>
            <w:r>
              <w:rPr>
                <w:sz w:val="24"/>
              </w:rPr>
              <w:t>Low risk</w:t>
            </w:r>
          </w:p>
        </w:tc>
        <w:tc>
          <w:tcPr>
            <w:tcW w:w="5245" w:type="dxa"/>
            <w:vAlign w:val="center"/>
          </w:tcPr>
          <w:p w14:paraId="66B2E400" w14:textId="77777777" w:rsidR="006D78CE" w:rsidRDefault="006D78CE" w:rsidP="00871473">
            <w:pPr>
              <w:pStyle w:val="TableParagraph"/>
              <w:spacing w:line="258" w:lineRule="exact"/>
              <w:ind w:right="282"/>
              <w:jc w:val="both"/>
              <w:rPr>
                <w:sz w:val="24"/>
              </w:rPr>
            </w:pPr>
            <w:r>
              <w:rPr>
                <w:sz w:val="24"/>
              </w:rPr>
              <w:t xml:space="preserve">Not applicable as debts are </w:t>
            </w:r>
            <w:r w:rsidR="00871473">
              <w:rPr>
                <w:sz w:val="24"/>
              </w:rPr>
              <w:t xml:space="preserve">not considered impaired </w:t>
            </w:r>
            <w:r>
              <w:rPr>
                <w:sz w:val="24"/>
              </w:rPr>
              <w:t xml:space="preserve">recoverable within </w:t>
            </w:r>
            <w:r w:rsidR="00871473">
              <w:rPr>
                <w:sz w:val="24"/>
              </w:rPr>
              <w:t xml:space="preserve">normal </w:t>
            </w:r>
            <w:r>
              <w:rPr>
                <w:sz w:val="24"/>
              </w:rPr>
              <w:t>payment terms</w:t>
            </w:r>
          </w:p>
        </w:tc>
      </w:tr>
    </w:tbl>
    <w:p w14:paraId="2C5A6ECA" w14:textId="77777777" w:rsidR="00012647" w:rsidRPr="00871473" w:rsidRDefault="00012647" w:rsidP="00871473">
      <w:pPr>
        <w:pStyle w:val="BodyText"/>
        <w:spacing w:before="7" w:line="240" w:lineRule="auto"/>
        <w:rPr>
          <w:sz w:val="22"/>
          <w:szCs w:val="22"/>
        </w:rPr>
      </w:pPr>
    </w:p>
    <w:p w14:paraId="24590DBB" w14:textId="77777777" w:rsidR="00012647" w:rsidRPr="00871473" w:rsidRDefault="006D78CE" w:rsidP="00871473">
      <w:pPr>
        <w:pStyle w:val="BodyText"/>
        <w:tabs>
          <w:tab w:val="left" w:pos="851"/>
        </w:tabs>
        <w:spacing w:line="240" w:lineRule="auto"/>
        <w:ind w:left="851" w:right="-7" w:hanging="851"/>
        <w:rPr>
          <w:sz w:val="22"/>
          <w:szCs w:val="22"/>
        </w:rPr>
      </w:pPr>
      <w:bookmarkStart w:id="34" w:name="OLE_LINK10"/>
      <w:r w:rsidRPr="00871473">
        <w:rPr>
          <w:sz w:val="22"/>
          <w:szCs w:val="22"/>
        </w:rPr>
        <w:t>6.4</w:t>
      </w:r>
      <w:r w:rsidRPr="00871473">
        <w:rPr>
          <w:sz w:val="22"/>
          <w:szCs w:val="22"/>
        </w:rPr>
        <w:tab/>
      </w:r>
      <w:r w:rsidR="00012647" w:rsidRPr="00871473">
        <w:rPr>
          <w:sz w:val="22"/>
          <w:szCs w:val="22"/>
        </w:rPr>
        <w:t xml:space="preserve">The risk factors and premium adjustment </w:t>
      </w:r>
      <w:r w:rsidR="00B810C6">
        <w:rPr>
          <w:sz w:val="22"/>
          <w:szCs w:val="22"/>
        </w:rPr>
        <w:t>will be</w:t>
      </w:r>
      <w:r w:rsidR="00012647" w:rsidRPr="00871473">
        <w:rPr>
          <w:sz w:val="22"/>
          <w:szCs w:val="22"/>
        </w:rPr>
        <w:t xml:space="preserve"> reviewed annually by management.</w:t>
      </w:r>
    </w:p>
    <w:bookmarkEnd w:id="34"/>
    <w:p w14:paraId="07708A51" w14:textId="77777777" w:rsidR="00012647" w:rsidRPr="00871473" w:rsidRDefault="00012647" w:rsidP="00871473">
      <w:pPr>
        <w:pStyle w:val="BodyText"/>
        <w:spacing w:line="240" w:lineRule="auto"/>
        <w:rPr>
          <w:sz w:val="22"/>
          <w:szCs w:val="22"/>
        </w:rPr>
      </w:pPr>
    </w:p>
    <w:p w14:paraId="0376EE91" w14:textId="77777777" w:rsidR="006D78CE" w:rsidRDefault="006D78CE" w:rsidP="00012647">
      <w:pPr>
        <w:pStyle w:val="BodyText"/>
      </w:pPr>
    </w:p>
    <w:p w14:paraId="04AAD971" w14:textId="77777777" w:rsidR="006D78CE" w:rsidRDefault="006D78CE" w:rsidP="00012647">
      <w:pPr>
        <w:pStyle w:val="BodyText"/>
      </w:pPr>
    </w:p>
    <w:p w14:paraId="29647056" w14:textId="77777777" w:rsidR="004645E5" w:rsidRDefault="004645E5">
      <w:pPr>
        <w:rPr>
          <w:rFonts w:ascii="Arial" w:eastAsia="Arial Unicode MS" w:hAnsi="Arial" w:cs="Arial"/>
          <w:b/>
          <w:sz w:val="22"/>
          <w:szCs w:val="22"/>
          <w:u w:val="single"/>
        </w:rPr>
      </w:pPr>
      <w:bookmarkStart w:id="35" w:name="7._EXPECTED_REPAYMENT_TERM"/>
      <w:bookmarkStart w:id="36" w:name="_bookmark13"/>
      <w:bookmarkEnd w:id="35"/>
      <w:bookmarkEnd w:id="36"/>
      <w:r>
        <w:br w:type="page"/>
      </w:r>
    </w:p>
    <w:p w14:paraId="0D365422" w14:textId="77777777" w:rsidR="00012647" w:rsidRDefault="00012647" w:rsidP="00012647">
      <w:pPr>
        <w:pStyle w:val="BodyText"/>
        <w:ind w:left="8210"/>
        <w:rPr>
          <w:sz w:val="20"/>
        </w:rPr>
      </w:pPr>
    </w:p>
    <w:p w14:paraId="78465B5D" w14:textId="77777777" w:rsidR="00012647" w:rsidRPr="007D5FFA" w:rsidRDefault="00012647" w:rsidP="00AF5686">
      <w:pPr>
        <w:pStyle w:val="Heading1"/>
        <w:numPr>
          <w:ilvl w:val="0"/>
          <w:numId w:val="17"/>
        </w:numPr>
        <w:rPr>
          <w:u w:val="none"/>
        </w:rPr>
      </w:pPr>
      <w:bookmarkStart w:id="37" w:name="8._EXPECTED_FUTURE_CASH_FLOWS"/>
      <w:bookmarkStart w:id="38" w:name="_bookmark14"/>
      <w:bookmarkStart w:id="39" w:name="_Toc17119800"/>
      <w:bookmarkStart w:id="40" w:name="_Toc17120072"/>
      <w:bookmarkStart w:id="41" w:name="OLE_LINK11"/>
      <w:bookmarkEnd w:id="37"/>
      <w:bookmarkEnd w:id="38"/>
      <w:r>
        <w:t>EXPECTED FUTURE CASH</w:t>
      </w:r>
      <w:r w:rsidRPr="007D5FFA">
        <w:rPr>
          <w:spacing w:val="-3"/>
        </w:rPr>
        <w:t xml:space="preserve"> </w:t>
      </w:r>
      <w:r>
        <w:t>FLOWS</w:t>
      </w:r>
      <w:bookmarkEnd w:id="39"/>
      <w:bookmarkEnd w:id="40"/>
    </w:p>
    <w:bookmarkEnd w:id="41"/>
    <w:p w14:paraId="3E2BF5C6" w14:textId="77777777" w:rsidR="00012647" w:rsidRDefault="00012647" w:rsidP="00012647">
      <w:pPr>
        <w:pStyle w:val="BodyText"/>
        <w:spacing w:before="10"/>
        <w:rPr>
          <w:b/>
          <w:sz w:val="17"/>
        </w:rPr>
      </w:pPr>
    </w:p>
    <w:p w14:paraId="3780717D" w14:textId="77777777" w:rsidR="003710DB" w:rsidRDefault="003710DB" w:rsidP="00AF5686">
      <w:pPr>
        <w:pStyle w:val="ListParagraph"/>
        <w:ind w:left="851"/>
        <w:jc w:val="both"/>
        <w:rPr>
          <w:rFonts w:ascii="Arial" w:eastAsia="Arial Unicode MS" w:hAnsi="Arial" w:cs="Arial"/>
          <w:szCs w:val="22"/>
        </w:rPr>
      </w:pPr>
    </w:p>
    <w:tbl>
      <w:tblPr>
        <w:tblW w:w="7913" w:type="dxa"/>
        <w:tblInd w:w="-10" w:type="dxa"/>
        <w:tblLook w:val="04A0" w:firstRow="1" w:lastRow="0" w:firstColumn="1" w:lastColumn="0" w:noHBand="0" w:noVBand="1"/>
      </w:tblPr>
      <w:tblGrid>
        <w:gridCol w:w="3085"/>
        <w:gridCol w:w="4828"/>
      </w:tblGrid>
      <w:tr w:rsidR="001A0E0F" w14:paraId="7CAFCBDC" w14:textId="77777777" w:rsidTr="00AF5686">
        <w:trPr>
          <w:trHeight w:val="886"/>
        </w:trPr>
        <w:tc>
          <w:tcPr>
            <w:tcW w:w="30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58EA9F7" w14:textId="77777777" w:rsidR="003710DB" w:rsidRDefault="003710DB">
            <w:pPr>
              <w:jc w:val="both"/>
              <w:rPr>
                <w:rFonts w:ascii="Arial" w:hAnsi="Arial" w:cs="Arial"/>
                <w:b/>
                <w:bCs/>
                <w:color w:val="000000"/>
                <w:sz w:val="22"/>
                <w:szCs w:val="22"/>
                <w:lang w:val="en-ZA" w:eastAsia="en-ZA"/>
              </w:rPr>
            </w:pPr>
            <w:r>
              <w:rPr>
                <w:rFonts w:ascii="Arial" w:hAnsi="Arial" w:cs="Arial"/>
                <w:b/>
                <w:bCs/>
                <w:color w:val="000000"/>
                <w:sz w:val="22"/>
                <w:szCs w:val="22"/>
                <w:lang w:val="en-GB"/>
              </w:rPr>
              <w:t>Group</w:t>
            </w:r>
          </w:p>
        </w:tc>
        <w:tc>
          <w:tcPr>
            <w:tcW w:w="482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D1B559A" w14:textId="77777777" w:rsidR="003710DB" w:rsidRDefault="003710DB">
            <w:pPr>
              <w:jc w:val="both"/>
              <w:rPr>
                <w:rFonts w:ascii="Arial" w:hAnsi="Arial" w:cs="Arial"/>
                <w:b/>
                <w:bCs/>
                <w:color w:val="000000"/>
                <w:sz w:val="22"/>
                <w:szCs w:val="22"/>
              </w:rPr>
            </w:pPr>
            <w:r>
              <w:rPr>
                <w:rFonts w:ascii="Arial" w:hAnsi="Arial" w:cs="Arial"/>
                <w:b/>
                <w:bCs/>
                <w:color w:val="000000"/>
                <w:sz w:val="22"/>
                <w:szCs w:val="22"/>
                <w:lang w:val="en-GB"/>
              </w:rPr>
              <w:t>Expected future cash flow</w:t>
            </w:r>
          </w:p>
        </w:tc>
      </w:tr>
      <w:tr w:rsidR="001A0E0F" w14:paraId="7A36F58F" w14:textId="77777777" w:rsidTr="00AF5686">
        <w:trPr>
          <w:trHeight w:val="1073"/>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7F2CABBB" w14:textId="77777777" w:rsidR="003710DB" w:rsidRDefault="003710DB">
            <w:pPr>
              <w:jc w:val="both"/>
              <w:rPr>
                <w:rFonts w:ascii="Arial" w:hAnsi="Arial" w:cs="Arial"/>
                <w:color w:val="000000"/>
                <w:sz w:val="22"/>
                <w:szCs w:val="22"/>
              </w:rPr>
            </w:pPr>
            <w:r>
              <w:rPr>
                <w:rFonts w:ascii="Arial" w:eastAsia="Arial" w:hAnsi="Arial" w:cs="Arial"/>
                <w:color w:val="000000"/>
                <w:sz w:val="22"/>
                <w:szCs w:val="22"/>
                <w:lang w:val="en-GB"/>
              </w:rPr>
              <w:t>1.</w:t>
            </w:r>
            <w:r>
              <w:rPr>
                <w:rFonts w:eastAsia="Arial"/>
                <w:color w:val="000000"/>
                <w:sz w:val="14"/>
                <w:szCs w:val="14"/>
                <w:lang w:val="en-GB"/>
              </w:rPr>
              <w:t xml:space="preserve">    </w:t>
            </w:r>
            <w:r>
              <w:rPr>
                <w:rFonts w:ascii="Arial" w:eastAsia="Arial" w:hAnsi="Arial" w:cs="Arial"/>
                <w:color w:val="000000"/>
                <w:sz w:val="22"/>
                <w:szCs w:val="22"/>
                <w:lang w:val="en-GB"/>
              </w:rPr>
              <w:t>Indigent receivables</w:t>
            </w:r>
          </w:p>
        </w:tc>
        <w:tc>
          <w:tcPr>
            <w:tcW w:w="4828" w:type="dxa"/>
            <w:tcBorders>
              <w:top w:val="nil"/>
              <w:left w:val="nil"/>
              <w:bottom w:val="single" w:sz="8" w:space="0" w:color="auto"/>
              <w:right w:val="single" w:sz="8" w:space="0" w:color="auto"/>
            </w:tcBorders>
            <w:shd w:val="clear" w:color="auto" w:fill="auto"/>
            <w:vAlign w:val="center"/>
            <w:hideMark/>
          </w:tcPr>
          <w:p w14:paraId="6FC52C07" w14:textId="2C7CD50D" w:rsidR="003710DB" w:rsidRDefault="003710DB">
            <w:pPr>
              <w:jc w:val="both"/>
              <w:rPr>
                <w:rFonts w:ascii="Arial" w:hAnsi="Arial" w:cs="Arial"/>
                <w:color w:val="000000"/>
                <w:sz w:val="22"/>
                <w:szCs w:val="22"/>
              </w:rPr>
            </w:pPr>
            <w:r>
              <w:rPr>
                <w:rFonts w:ascii="Arial" w:hAnsi="Arial" w:cs="Arial"/>
                <w:color w:val="000000"/>
                <w:sz w:val="22"/>
                <w:szCs w:val="22"/>
                <w:lang w:val="en-GB"/>
              </w:rPr>
              <w:t xml:space="preserve">Accounts marked as indigent do not expect any re-payment and is therefore included at 100% </w:t>
            </w:r>
            <w:r w:rsidR="00144A35">
              <w:rPr>
                <w:rFonts w:ascii="Arial" w:hAnsi="Arial" w:cs="Arial"/>
                <w:color w:val="000000"/>
                <w:sz w:val="22"/>
                <w:szCs w:val="22"/>
                <w:lang w:val="en-GB"/>
              </w:rPr>
              <w:t xml:space="preserve">of balance owing </w:t>
            </w:r>
            <w:r>
              <w:rPr>
                <w:rFonts w:ascii="Arial" w:hAnsi="Arial" w:cs="Arial"/>
                <w:color w:val="000000"/>
                <w:sz w:val="22"/>
                <w:szCs w:val="22"/>
                <w:lang w:val="en-GB"/>
              </w:rPr>
              <w:t>in the allowance calculation with the</w:t>
            </w:r>
            <w:r w:rsidR="0001024E">
              <w:rPr>
                <w:rFonts w:ascii="Arial" w:hAnsi="Arial" w:cs="Arial"/>
                <w:color w:val="000000"/>
                <w:sz w:val="22"/>
                <w:szCs w:val="22"/>
                <w:lang w:val="en-GB"/>
              </w:rPr>
              <w:t xml:space="preserve"> exception of indigent debtors</w:t>
            </w:r>
            <w:r>
              <w:rPr>
                <w:rFonts w:ascii="Arial" w:hAnsi="Arial" w:cs="Arial"/>
                <w:color w:val="000000"/>
                <w:sz w:val="22"/>
                <w:szCs w:val="22"/>
                <w:lang w:val="en-GB"/>
              </w:rPr>
              <w:t xml:space="preserve"> with</w:t>
            </w:r>
            <w:r w:rsidR="00144A35">
              <w:rPr>
                <w:rFonts w:ascii="Arial" w:hAnsi="Arial" w:cs="Arial"/>
                <w:color w:val="000000"/>
                <w:sz w:val="22"/>
                <w:szCs w:val="22"/>
                <w:lang w:val="en-GB"/>
              </w:rPr>
              <w:t xml:space="preserve"> </w:t>
            </w:r>
            <w:r w:rsidR="0001024E">
              <w:rPr>
                <w:rFonts w:ascii="Arial" w:hAnsi="Arial" w:cs="Arial"/>
                <w:color w:val="000000"/>
                <w:sz w:val="22"/>
                <w:szCs w:val="22"/>
                <w:lang w:val="en-GB"/>
              </w:rPr>
              <w:t>only balances</w:t>
            </w:r>
            <w:r>
              <w:rPr>
                <w:rFonts w:ascii="Arial" w:hAnsi="Arial" w:cs="Arial"/>
                <w:color w:val="000000"/>
                <w:sz w:val="22"/>
                <w:szCs w:val="22"/>
                <w:lang w:val="en-GB"/>
              </w:rPr>
              <w:t xml:space="preserve"> of 30 days and less.</w:t>
            </w:r>
            <w:r w:rsidR="00144A35">
              <w:rPr>
                <w:rFonts w:ascii="Arial" w:hAnsi="Arial" w:cs="Arial"/>
                <w:color w:val="000000"/>
                <w:sz w:val="22"/>
                <w:szCs w:val="22"/>
                <w:lang w:val="en-GB"/>
              </w:rPr>
              <w:t xml:space="preserve"> </w:t>
            </w:r>
          </w:p>
        </w:tc>
      </w:tr>
      <w:tr w:rsidR="0001024E" w14:paraId="4A32D097" w14:textId="77777777" w:rsidTr="00AF5686">
        <w:trPr>
          <w:trHeight w:val="1073"/>
        </w:trPr>
        <w:tc>
          <w:tcPr>
            <w:tcW w:w="3085" w:type="dxa"/>
            <w:tcBorders>
              <w:top w:val="nil"/>
              <w:left w:val="single" w:sz="8" w:space="0" w:color="auto"/>
              <w:bottom w:val="single" w:sz="8" w:space="0" w:color="auto"/>
              <w:right w:val="single" w:sz="8" w:space="0" w:color="auto"/>
            </w:tcBorders>
            <w:shd w:val="clear" w:color="auto" w:fill="auto"/>
            <w:vAlign w:val="center"/>
          </w:tcPr>
          <w:p w14:paraId="60D6B7D8" w14:textId="55DA0A0E" w:rsidR="0001024E" w:rsidRDefault="0001024E" w:rsidP="0001024E">
            <w:pPr>
              <w:jc w:val="both"/>
              <w:rPr>
                <w:rFonts w:ascii="Arial" w:eastAsia="Arial" w:hAnsi="Arial" w:cs="Arial"/>
                <w:color w:val="000000"/>
                <w:sz w:val="22"/>
                <w:szCs w:val="22"/>
                <w:lang w:val="en-GB"/>
              </w:rPr>
            </w:pPr>
            <w:r>
              <w:rPr>
                <w:rFonts w:ascii="Arial" w:eastAsia="Arial" w:hAnsi="Arial" w:cs="Arial"/>
                <w:color w:val="000000"/>
                <w:sz w:val="22"/>
                <w:szCs w:val="22"/>
                <w:lang w:val="en-GB"/>
              </w:rPr>
              <w:t>2.</w:t>
            </w:r>
            <w:r>
              <w:rPr>
                <w:rFonts w:eastAsia="Arial"/>
                <w:color w:val="000000"/>
                <w:sz w:val="14"/>
                <w:szCs w:val="14"/>
                <w:lang w:val="en-GB"/>
              </w:rPr>
              <w:t xml:space="preserve">    </w:t>
            </w:r>
            <w:r>
              <w:rPr>
                <w:rFonts w:ascii="Arial" w:eastAsia="Arial" w:hAnsi="Arial" w:cs="Arial"/>
                <w:color w:val="000000"/>
                <w:sz w:val="22"/>
                <w:szCs w:val="22"/>
                <w:lang w:val="en-GB"/>
              </w:rPr>
              <w:t>Deceased receivables</w:t>
            </w:r>
          </w:p>
        </w:tc>
        <w:tc>
          <w:tcPr>
            <w:tcW w:w="4828" w:type="dxa"/>
            <w:tcBorders>
              <w:top w:val="nil"/>
              <w:left w:val="nil"/>
              <w:bottom w:val="single" w:sz="8" w:space="0" w:color="auto"/>
              <w:right w:val="single" w:sz="8" w:space="0" w:color="auto"/>
            </w:tcBorders>
            <w:shd w:val="clear" w:color="auto" w:fill="auto"/>
            <w:vAlign w:val="center"/>
          </w:tcPr>
          <w:p w14:paraId="2857C524" w14:textId="05976D40" w:rsidR="0001024E" w:rsidRDefault="0001024E" w:rsidP="0001024E">
            <w:pPr>
              <w:jc w:val="both"/>
              <w:rPr>
                <w:rFonts w:ascii="Arial" w:hAnsi="Arial" w:cs="Arial"/>
                <w:color w:val="000000"/>
                <w:sz w:val="22"/>
                <w:szCs w:val="22"/>
                <w:lang w:val="en-GB"/>
              </w:rPr>
            </w:pPr>
            <w:r>
              <w:rPr>
                <w:rFonts w:ascii="Arial" w:hAnsi="Arial" w:cs="Arial"/>
                <w:color w:val="000000"/>
                <w:sz w:val="22"/>
                <w:szCs w:val="22"/>
                <w:lang w:val="en-GB"/>
              </w:rPr>
              <w:t xml:space="preserve">Accounts marked as deceased debtors do not expect any re-payment and is therefore included at 100% of balance owing in the allowance calculation with the exception of deceased debtor with only balances of 30 days and less. </w:t>
            </w:r>
          </w:p>
        </w:tc>
      </w:tr>
      <w:tr w:rsidR="0001024E" w14:paraId="3BE2A743" w14:textId="77777777" w:rsidTr="001A0E0F">
        <w:trPr>
          <w:trHeight w:val="1175"/>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29777A3E" w14:textId="77777777" w:rsidR="0001024E" w:rsidRDefault="0001024E" w:rsidP="0001024E">
            <w:pPr>
              <w:jc w:val="both"/>
              <w:rPr>
                <w:rFonts w:ascii="Arial" w:hAnsi="Arial" w:cs="Arial"/>
                <w:color w:val="000000"/>
                <w:sz w:val="22"/>
                <w:szCs w:val="22"/>
              </w:rPr>
            </w:pPr>
            <w:r>
              <w:rPr>
                <w:rFonts w:ascii="Arial" w:eastAsia="Arial" w:hAnsi="Arial" w:cs="Arial"/>
                <w:color w:val="000000"/>
                <w:sz w:val="22"/>
                <w:szCs w:val="22"/>
                <w:lang w:val="en-GB"/>
              </w:rPr>
              <w:t>2.</w:t>
            </w:r>
            <w:r>
              <w:rPr>
                <w:rFonts w:eastAsia="Arial"/>
                <w:color w:val="000000"/>
                <w:sz w:val="14"/>
                <w:szCs w:val="14"/>
                <w:lang w:val="en-GB"/>
              </w:rPr>
              <w:t xml:space="preserve">    </w:t>
            </w:r>
            <w:r>
              <w:rPr>
                <w:rFonts w:ascii="Arial" w:eastAsia="Arial" w:hAnsi="Arial" w:cs="Arial"/>
                <w:color w:val="000000"/>
                <w:sz w:val="22"/>
                <w:szCs w:val="22"/>
                <w:lang w:val="en-GB"/>
              </w:rPr>
              <w:t xml:space="preserve">High risk consumer receivables </w:t>
            </w:r>
          </w:p>
        </w:tc>
        <w:tc>
          <w:tcPr>
            <w:tcW w:w="4828" w:type="dxa"/>
            <w:tcBorders>
              <w:top w:val="nil"/>
              <w:left w:val="nil"/>
              <w:bottom w:val="single" w:sz="8" w:space="0" w:color="auto"/>
              <w:right w:val="single" w:sz="8" w:space="0" w:color="auto"/>
            </w:tcBorders>
            <w:shd w:val="clear" w:color="auto" w:fill="auto"/>
            <w:vAlign w:val="center"/>
            <w:hideMark/>
          </w:tcPr>
          <w:p w14:paraId="037BB530" w14:textId="292F4FA9" w:rsidR="0001024E" w:rsidRDefault="0001024E" w:rsidP="0001024E">
            <w:pPr>
              <w:jc w:val="both"/>
              <w:rPr>
                <w:rFonts w:ascii="Arial" w:hAnsi="Arial" w:cs="Arial"/>
                <w:color w:val="000000"/>
                <w:sz w:val="22"/>
                <w:szCs w:val="22"/>
              </w:rPr>
            </w:pPr>
            <w:r>
              <w:rPr>
                <w:rFonts w:ascii="Arial" w:hAnsi="Arial" w:cs="Arial"/>
                <w:color w:val="000000"/>
                <w:sz w:val="22"/>
                <w:szCs w:val="22"/>
                <w:lang w:val="en-GB"/>
              </w:rPr>
              <w:t xml:space="preserve">Recoverability will be </w:t>
            </w:r>
            <w:r w:rsidRPr="00401E3B">
              <w:rPr>
                <w:rFonts w:ascii="Arial" w:hAnsi="Arial" w:cs="Arial"/>
                <w:b/>
                <w:color w:val="000000"/>
                <w:sz w:val="22"/>
                <w:szCs w:val="22"/>
                <w:lang w:val="en-GB"/>
              </w:rPr>
              <w:t>42%</w:t>
            </w:r>
            <w:r>
              <w:rPr>
                <w:rFonts w:ascii="Arial" w:hAnsi="Arial" w:cs="Arial"/>
                <w:color w:val="000000"/>
                <w:sz w:val="22"/>
                <w:szCs w:val="22"/>
                <w:lang w:val="en-GB"/>
              </w:rPr>
              <w:t xml:space="preserve"> as per managements past experience with this category of debtors </w:t>
            </w:r>
          </w:p>
        </w:tc>
      </w:tr>
      <w:tr w:rsidR="0001024E" w14:paraId="0674ECD3" w14:textId="77777777" w:rsidTr="001D0990">
        <w:trPr>
          <w:trHeight w:val="1100"/>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0137915B" w14:textId="77777777" w:rsidR="0001024E" w:rsidRDefault="0001024E" w:rsidP="0001024E">
            <w:pPr>
              <w:jc w:val="both"/>
              <w:rPr>
                <w:rFonts w:ascii="Arial" w:hAnsi="Arial" w:cs="Arial"/>
                <w:color w:val="000000"/>
                <w:sz w:val="22"/>
                <w:szCs w:val="22"/>
              </w:rPr>
            </w:pPr>
            <w:r>
              <w:rPr>
                <w:rFonts w:ascii="Arial" w:eastAsia="Arial" w:hAnsi="Arial" w:cs="Arial"/>
                <w:color w:val="000000"/>
                <w:sz w:val="22"/>
                <w:szCs w:val="22"/>
                <w:lang w:val="en-GB"/>
              </w:rPr>
              <w:t>3.</w:t>
            </w:r>
            <w:r>
              <w:rPr>
                <w:rFonts w:eastAsia="Arial"/>
                <w:color w:val="000000"/>
                <w:sz w:val="14"/>
                <w:szCs w:val="14"/>
                <w:lang w:val="en-GB"/>
              </w:rPr>
              <w:t xml:space="preserve">    </w:t>
            </w:r>
            <w:r>
              <w:rPr>
                <w:rFonts w:ascii="Arial" w:eastAsia="Arial" w:hAnsi="Arial" w:cs="Arial"/>
                <w:color w:val="000000"/>
                <w:sz w:val="22"/>
                <w:szCs w:val="22"/>
                <w:lang w:val="en-GB"/>
              </w:rPr>
              <w:t>Medium risk consumer receivables.</w:t>
            </w:r>
          </w:p>
        </w:tc>
        <w:tc>
          <w:tcPr>
            <w:tcW w:w="4828" w:type="dxa"/>
            <w:tcBorders>
              <w:top w:val="nil"/>
              <w:left w:val="nil"/>
              <w:bottom w:val="single" w:sz="8" w:space="0" w:color="auto"/>
              <w:right w:val="single" w:sz="8" w:space="0" w:color="auto"/>
            </w:tcBorders>
            <w:shd w:val="clear" w:color="auto" w:fill="auto"/>
            <w:vAlign w:val="center"/>
            <w:hideMark/>
          </w:tcPr>
          <w:p w14:paraId="4BD005A2" w14:textId="2308F2B0" w:rsidR="0001024E" w:rsidRDefault="0001024E" w:rsidP="0001024E">
            <w:pPr>
              <w:jc w:val="both"/>
              <w:rPr>
                <w:rFonts w:ascii="Arial" w:hAnsi="Arial" w:cs="Arial"/>
                <w:color w:val="000000"/>
                <w:sz w:val="22"/>
                <w:szCs w:val="22"/>
              </w:rPr>
            </w:pPr>
            <w:r>
              <w:rPr>
                <w:rFonts w:ascii="Arial" w:hAnsi="Arial" w:cs="Arial"/>
                <w:color w:val="000000"/>
                <w:sz w:val="22"/>
                <w:szCs w:val="22"/>
                <w:lang w:val="en-GB"/>
              </w:rPr>
              <w:t xml:space="preserve">Recoverability will be </w:t>
            </w:r>
            <w:r w:rsidRPr="00401E3B">
              <w:rPr>
                <w:rFonts w:ascii="Arial" w:hAnsi="Arial" w:cs="Arial"/>
                <w:b/>
                <w:color w:val="000000"/>
                <w:sz w:val="22"/>
                <w:szCs w:val="22"/>
                <w:lang w:val="en-GB"/>
              </w:rPr>
              <w:t>80%</w:t>
            </w:r>
            <w:r>
              <w:rPr>
                <w:rFonts w:ascii="Arial" w:hAnsi="Arial" w:cs="Arial"/>
                <w:color w:val="000000"/>
                <w:sz w:val="22"/>
                <w:szCs w:val="22"/>
                <w:lang w:val="en-GB"/>
              </w:rPr>
              <w:t xml:space="preserve"> as per managements past experience with this category of debtors.</w:t>
            </w:r>
          </w:p>
        </w:tc>
      </w:tr>
      <w:tr w:rsidR="0001024E" w14:paraId="65E02826" w14:textId="77777777" w:rsidTr="001A0E0F">
        <w:trPr>
          <w:trHeight w:val="34"/>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4EAE18D8" w14:textId="77777777" w:rsidR="0001024E" w:rsidRDefault="0001024E" w:rsidP="0001024E">
            <w:pPr>
              <w:jc w:val="both"/>
              <w:rPr>
                <w:rFonts w:ascii="Arial" w:hAnsi="Arial" w:cs="Arial"/>
                <w:color w:val="000000"/>
                <w:sz w:val="22"/>
                <w:szCs w:val="22"/>
              </w:rPr>
            </w:pPr>
            <w:r>
              <w:rPr>
                <w:rFonts w:ascii="Arial" w:eastAsia="Arial" w:hAnsi="Arial" w:cs="Arial"/>
                <w:color w:val="000000"/>
                <w:sz w:val="22"/>
                <w:szCs w:val="22"/>
                <w:lang w:val="en-GB"/>
              </w:rPr>
              <w:t>4.</w:t>
            </w:r>
            <w:r>
              <w:rPr>
                <w:rFonts w:eastAsia="Arial"/>
                <w:color w:val="000000"/>
                <w:sz w:val="14"/>
                <w:szCs w:val="14"/>
                <w:lang w:val="en-GB"/>
              </w:rPr>
              <w:t xml:space="preserve">    </w:t>
            </w:r>
            <w:r>
              <w:rPr>
                <w:rFonts w:ascii="Arial" w:eastAsia="Arial" w:hAnsi="Arial" w:cs="Arial"/>
                <w:color w:val="000000"/>
                <w:sz w:val="22"/>
                <w:szCs w:val="22"/>
                <w:lang w:val="en-GB"/>
              </w:rPr>
              <w:t> Low risk consumer receivables</w:t>
            </w:r>
          </w:p>
        </w:tc>
        <w:tc>
          <w:tcPr>
            <w:tcW w:w="4828" w:type="dxa"/>
            <w:tcBorders>
              <w:top w:val="nil"/>
              <w:left w:val="nil"/>
              <w:bottom w:val="single" w:sz="8" w:space="0" w:color="auto"/>
              <w:right w:val="single" w:sz="8" w:space="0" w:color="auto"/>
            </w:tcBorders>
            <w:shd w:val="clear" w:color="auto" w:fill="auto"/>
            <w:vAlign w:val="center"/>
            <w:hideMark/>
          </w:tcPr>
          <w:p w14:paraId="07FBE72C" w14:textId="77777777" w:rsidR="0001024E" w:rsidRDefault="0001024E" w:rsidP="0001024E">
            <w:pPr>
              <w:jc w:val="both"/>
              <w:rPr>
                <w:rFonts w:ascii="Arial" w:hAnsi="Arial" w:cs="Arial"/>
                <w:color w:val="000000"/>
                <w:sz w:val="22"/>
                <w:szCs w:val="22"/>
              </w:rPr>
            </w:pPr>
            <w:r>
              <w:rPr>
                <w:rFonts w:ascii="Arial" w:hAnsi="Arial" w:cs="Arial"/>
                <w:color w:val="000000"/>
                <w:sz w:val="22"/>
                <w:szCs w:val="22"/>
                <w:lang w:val="en-GB"/>
              </w:rPr>
              <w:t>Fully recoverable</w:t>
            </w:r>
          </w:p>
        </w:tc>
      </w:tr>
    </w:tbl>
    <w:p w14:paraId="6371173D" w14:textId="77777777" w:rsidR="003710DB" w:rsidRDefault="003710DB" w:rsidP="00AF5686">
      <w:pPr>
        <w:pStyle w:val="ListParagraph"/>
        <w:ind w:left="851"/>
        <w:jc w:val="both"/>
        <w:rPr>
          <w:rFonts w:ascii="Arial" w:eastAsia="Arial Unicode MS" w:hAnsi="Arial" w:cs="Arial"/>
          <w:szCs w:val="22"/>
        </w:rPr>
      </w:pPr>
    </w:p>
    <w:p w14:paraId="04956C69" w14:textId="77777777" w:rsidR="00AF570D" w:rsidRPr="00AF5686" w:rsidRDefault="00AF570D" w:rsidP="00AF5686">
      <w:pPr>
        <w:pStyle w:val="ListParagraph"/>
        <w:rPr>
          <w:rFonts w:ascii="Arial" w:eastAsia="Arial Unicode MS" w:hAnsi="Arial" w:cs="Arial"/>
          <w:szCs w:val="22"/>
        </w:rPr>
      </w:pPr>
    </w:p>
    <w:p w14:paraId="736CA52C" w14:textId="77777777" w:rsidR="00AF570D" w:rsidRDefault="00AF570D" w:rsidP="00AF5686">
      <w:pPr>
        <w:pStyle w:val="ListParagraph"/>
        <w:ind w:left="360"/>
        <w:jc w:val="both"/>
        <w:rPr>
          <w:rFonts w:ascii="Arial" w:eastAsia="Arial Unicode MS" w:hAnsi="Arial" w:cs="Arial"/>
          <w:szCs w:val="22"/>
        </w:rPr>
      </w:pPr>
    </w:p>
    <w:p w14:paraId="2A098F8F" w14:textId="77777777" w:rsidR="00012647" w:rsidRDefault="00012647" w:rsidP="006E6B8E">
      <w:pPr>
        <w:pStyle w:val="Heading1"/>
        <w:tabs>
          <w:tab w:val="clear" w:pos="540"/>
          <w:tab w:val="num" w:pos="851"/>
          <w:tab w:val="num" w:pos="1080"/>
        </w:tabs>
        <w:rPr>
          <w:u w:val="none"/>
        </w:rPr>
      </w:pPr>
      <w:bookmarkStart w:id="42" w:name="9._PRESENT_VALUE_OF_EXPECTED_FUTURE_CASH"/>
      <w:bookmarkStart w:id="43" w:name="_bookmark15"/>
      <w:bookmarkStart w:id="44" w:name="_Toc17119801"/>
      <w:bookmarkStart w:id="45" w:name="_Toc17120073"/>
      <w:bookmarkStart w:id="46" w:name="OLE_LINK12"/>
      <w:bookmarkEnd w:id="42"/>
      <w:bookmarkEnd w:id="43"/>
      <w:r>
        <w:t>PRESENT VALUE OF EXPECTED FUTURE CASH</w:t>
      </w:r>
      <w:r>
        <w:rPr>
          <w:spacing w:val="-3"/>
        </w:rPr>
        <w:t xml:space="preserve"> </w:t>
      </w:r>
      <w:r>
        <w:t>FLOWS</w:t>
      </w:r>
      <w:bookmarkEnd w:id="44"/>
      <w:bookmarkEnd w:id="45"/>
    </w:p>
    <w:p w14:paraId="4BD51D1E" w14:textId="77777777" w:rsidR="00012647" w:rsidRDefault="00012647" w:rsidP="00012647">
      <w:pPr>
        <w:pStyle w:val="BodyText"/>
        <w:rPr>
          <w:b/>
          <w:sz w:val="16"/>
        </w:rPr>
      </w:pPr>
    </w:p>
    <w:p w14:paraId="49CADC44" w14:textId="77777777" w:rsidR="00F9188E" w:rsidRDefault="007D5FFA" w:rsidP="00F9188E">
      <w:pPr>
        <w:tabs>
          <w:tab w:val="left" w:pos="851"/>
        </w:tabs>
        <w:ind w:left="851" w:hanging="851"/>
        <w:jc w:val="both"/>
        <w:rPr>
          <w:rFonts w:ascii="Arial" w:hAnsi="Arial" w:cs="Arial"/>
          <w:sz w:val="22"/>
          <w:szCs w:val="22"/>
        </w:rPr>
      </w:pPr>
      <w:r>
        <w:rPr>
          <w:rFonts w:ascii="Arial" w:hAnsi="Arial" w:cs="Arial"/>
          <w:sz w:val="22"/>
          <w:szCs w:val="22"/>
        </w:rPr>
        <w:t>8</w:t>
      </w:r>
      <w:r w:rsidR="008627F7">
        <w:rPr>
          <w:rFonts w:ascii="Arial" w:hAnsi="Arial" w:cs="Arial"/>
          <w:sz w:val="22"/>
          <w:szCs w:val="22"/>
        </w:rPr>
        <w:t>.1</w:t>
      </w:r>
      <w:r w:rsidR="008627F7">
        <w:rPr>
          <w:rFonts w:ascii="Arial" w:hAnsi="Arial" w:cs="Arial"/>
          <w:sz w:val="22"/>
          <w:szCs w:val="22"/>
        </w:rPr>
        <w:tab/>
      </w:r>
      <w:r w:rsidR="00012647" w:rsidRPr="008627F7">
        <w:rPr>
          <w:rFonts w:ascii="Arial" w:hAnsi="Arial" w:cs="Arial"/>
          <w:sz w:val="22"/>
          <w:szCs w:val="22"/>
        </w:rPr>
        <w:t xml:space="preserve">The present value of expected future cash flows is calculated </w:t>
      </w:r>
      <w:r w:rsidR="00F9188E">
        <w:rPr>
          <w:rFonts w:ascii="Arial" w:hAnsi="Arial" w:cs="Arial"/>
          <w:sz w:val="22"/>
          <w:szCs w:val="22"/>
        </w:rPr>
        <w:t>by discounting the expected future cash flows by the discount rate.</w:t>
      </w:r>
    </w:p>
    <w:p w14:paraId="06710AC7" w14:textId="77777777" w:rsidR="00F9188E" w:rsidRDefault="00F9188E" w:rsidP="00F9188E">
      <w:pPr>
        <w:tabs>
          <w:tab w:val="left" w:pos="851"/>
        </w:tabs>
        <w:ind w:left="851" w:hanging="851"/>
        <w:jc w:val="both"/>
        <w:rPr>
          <w:rFonts w:ascii="Arial" w:hAnsi="Arial" w:cs="Arial"/>
          <w:sz w:val="22"/>
          <w:szCs w:val="22"/>
        </w:rPr>
      </w:pPr>
    </w:p>
    <w:bookmarkEnd w:id="46"/>
    <w:p w14:paraId="39B72140" w14:textId="77777777" w:rsidR="00B840FB" w:rsidRDefault="00B840FB" w:rsidP="00012647"/>
    <w:p w14:paraId="41836D7D" w14:textId="77777777" w:rsidR="00A90F70" w:rsidRPr="002C08BB" w:rsidRDefault="00A90F70" w:rsidP="006E6B8E">
      <w:pPr>
        <w:pStyle w:val="Heading1"/>
        <w:tabs>
          <w:tab w:val="clear" w:pos="540"/>
          <w:tab w:val="num" w:pos="851"/>
          <w:tab w:val="num" w:pos="1080"/>
        </w:tabs>
      </w:pPr>
      <w:bookmarkStart w:id="47" w:name="_Toc17119802"/>
      <w:bookmarkStart w:id="48" w:name="_Toc17120074"/>
      <w:r w:rsidRPr="002C08BB">
        <w:t>REVIEW OF METHODOLOGY</w:t>
      </w:r>
      <w:bookmarkEnd w:id="47"/>
      <w:bookmarkEnd w:id="48"/>
    </w:p>
    <w:p w14:paraId="6A0C3B0F" w14:textId="77777777" w:rsidR="00A90F70" w:rsidRPr="00A90F70" w:rsidRDefault="00A90F70" w:rsidP="00DA0F7A">
      <w:pPr>
        <w:pStyle w:val="ListParagraph"/>
        <w:ind w:left="660"/>
        <w:jc w:val="both"/>
        <w:rPr>
          <w:rFonts w:ascii="Arial" w:eastAsia="Arial Unicode MS" w:hAnsi="Arial" w:cs="Arial"/>
          <w:szCs w:val="22"/>
        </w:rPr>
      </w:pPr>
    </w:p>
    <w:p w14:paraId="7242A8CE" w14:textId="77777777" w:rsidR="00A90F70" w:rsidRPr="0001024E" w:rsidRDefault="007D5FFA" w:rsidP="00F9188E">
      <w:pPr>
        <w:tabs>
          <w:tab w:val="left" w:pos="851"/>
        </w:tabs>
        <w:ind w:left="851" w:hanging="851"/>
        <w:jc w:val="both"/>
        <w:rPr>
          <w:rFonts w:ascii="Arial" w:eastAsia="Arial Unicode MS" w:hAnsi="Arial" w:cs="Arial"/>
          <w:sz w:val="22"/>
          <w:szCs w:val="22"/>
        </w:rPr>
      </w:pPr>
      <w:r w:rsidRPr="0001024E">
        <w:rPr>
          <w:rFonts w:ascii="Arial" w:eastAsia="Arial Unicode MS" w:hAnsi="Arial" w:cs="Arial"/>
          <w:sz w:val="22"/>
          <w:szCs w:val="22"/>
        </w:rPr>
        <w:t>9</w:t>
      </w:r>
      <w:r w:rsidR="00F9188E" w:rsidRPr="0001024E">
        <w:rPr>
          <w:rFonts w:ascii="Arial" w:eastAsia="Arial Unicode MS" w:hAnsi="Arial" w:cs="Arial"/>
          <w:sz w:val="22"/>
          <w:szCs w:val="22"/>
        </w:rPr>
        <w:t>.1</w:t>
      </w:r>
      <w:r w:rsidR="00F9188E" w:rsidRPr="0001024E">
        <w:rPr>
          <w:rFonts w:ascii="Arial" w:eastAsia="Arial Unicode MS" w:hAnsi="Arial" w:cs="Arial"/>
          <w:sz w:val="22"/>
          <w:szCs w:val="22"/>
        </w:rPr>
        <w:tab/>
      </w:r>
      <w:r w:rsidR="00A90F70" w:rsidRPr="0001024E">
        <w:rPr>
          <w:rFonts w:ascii="Arial" w:eastAsia="Arial Unicode MS" w:hAnsi="Arial" w:cs="Arial"/>
          <w:sz w:val="22"/>
          <w:szCs w:val="22"/>
        </w:rPr>
        <w:t>In terms of section 17(1)(e) of the MFMA polices must be reviewed on an annual basis and the reviewed policy tabled to Council for approval as part of the budget process.</w:t>
      </w:r>
    </w:p>
    <w:p w14:paraId="0252D86E" w14:textId="77777777" w:rsidR="00065F55" w:rsidRDefault="00065F55" w:rsidP="00DA0F7A">
      <w:pPr>
        <w:pStyle w:val="ListParagraph"/>
        <w:ind w:left="360"/>
        <w:jc w:val="both"/>
        <w:rPr>
          <w:rFonts w:ascii="Arial" w:eastAsia="Arial Unicode MS" w:hAnsi="Arial" w:cs="Arial"/>
          <w:szCs w:val="22"/>
        </w:rPr>
      </w:pPr>
    </w:p>
    <w:p w14:paraId="3F45B586" w14:textId="77777777" w:rsidR="00065F55" w:rsidRPr="00065F55" w:rsidRDefault="00065F55" w:rsidP="00065F55">
      <w:pPr>
        <w:rPr>
          <w:rFonts w:eastAsia="Arial Unicode MS"/>
          <w:lang w:val="en-GB"/>
        </w:rPr>
      </w:pPr>
    </w:p>
    <w:p w14:paraId="7051AD0C" w14:textId="77777777" w:rsidR="00065F55" w:rsidRPr="00065F55" w:rsidRDefault="00065F55" w:rsidP="00065F55">
      <w:pPr>
        <w:rPr>
          <w:rFonts w:eastAsia="Arial Unicode MS"/>
          <w:lang w:val="en-GB"/>
        </w:rPr>
      </w:pPr>
    </w:p>
    <w:p w14:paraId="2E265F35" w14:textId="77777777" w:rsidR="00065F55" w:rsidRPr="00065F55" w:rsidRDefault="00065F55" w:rsidP="00065F55">
      <w:pPr>
        <w:rPr>
          <w:rFonts w:eastAsia="Arial Unicode MS"/>
          <w:lang w:val="en-GB"/>
        </w:rPr>
      </w:pPr>
    </w:p>
    <w:p w14:paraId="111F36F1" w14:textId="77777777" w:rsidR="00065F55" w:rsidRPr="00065F55" w:rsidRDefault="00065F55" w:rsidP="00065F55">
      <w:pPr>
        <w:rPr>
          <w:rFonts w:eastAsia="Arial Unicode MS"/>
          <w:lang w:val="en-GB"/>
        </w:rPr>
      </w:pPr>
    </w:p>
    <w:sectPr w:rsidR="00065F55" w:rsidRPr="00065F55" w:rsidSect="006E6B8E">
      <w:headerReference w:type="default" r:id="rId17"/>
      <w:footerReference w:type="default" r:id="rId18"/>
      <w:pgSz w:w="12240" w:h="15840"/>
      <w:pgMar w:top="1237" w:right="1800" w:bottom="1701" w:left="1800" w:header="708" w:footer="546"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3C7E" w16cex:dateUtc="2020-07-21T08:05:00Z"/>
  <w16cex:commentExtensible w16cex:durableId="22C13D19" w16cex:dateUtc="2020-07-2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7EDB5" w16cid:durableId="22C13C7E"/>
  <w16cid:commentId w16cid:paraId="177849EA" w16cid:durableId="22C13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1426" w14:textId="77777777" w:rsidR="00133590" w:rsidRDefault="00133590">
      <w:r>
        <w:separator/>
      </w:r>
    </w:p>
  </w:endnote>
  <w:endnote w:type="continuationSeparator" w:id="0">
    <w:p w14:paraId="2E856FD1" w14:textId="77777777" w:rsidR="00133590" w:rsidRDefault="0013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98AD" w14:textId="77777777" w:rsidR="003F5795" w:rsidRDefault="003F5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FD58E" w14:textId="77777777" w:rsidR="003F5795" w:rsidRDefault="003F5795">
    <w:pPr>
      <w:pStyle w:val="Footer"/>
      <w:ind w:right="360"/>
    </w:pPr>
  </w:p>
  <w:p w14:paraId="1A005E9D" w14:textId="77777777" w:rsidR="003F5795" w:rsidRDefault="003F5795"/>
  <w:p w14:paraId="1B3A5F17" w14:textId="77777777" w:rsidR="003F5795" w:rsidRDefault="003F5795"/>
  <w:p w14:paraId="295EB5B8" w14:textId="77777777" w:rsidR="003F5795" w:rsidRDefault="003F5795"/>
  <w:p w14:paraId="316E2ECF" w14:textId="77777777" w:rsidR="003F5795" w:rsidRDefault="003F57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D2A2" w14:textId="77777777" w:rsidR="003F5795" w:rsidRDefault="003F5795">
    <w:pPr>
      <w:pStyle w:val="Footer"/>
      <w:jc w:val="center"/>
    </w:pPr>
  </w:p>
  <w:p w14:paraId="6DBA8B0F" w14:textId="77777777" w:rsidR="003F5795" w:rsidRDefault="003F5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C9B4" w14:textId="77777777" w:rsidR="003F5795" w:rsidRDefault="003F5795">
    <w:pPr>
      <w:pStyle w:val="Footer"/>
      <w:jc w:val="center"/>
    </w:pPr>
  </w:p>
  <w:p w14:paraId="0516C607" w14:textId="77777777" w:rsidR="003F5795" w:rsidRDefault="003F57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901959"/>
      <w:docPartObj>
        <w:docPartGallery w:val="Page Numbers (Bottom of Page)"/>
        <w:docPartUnique/>
      </w:docPartObj>
    </w:sdtPr>
    <w:sdtEndPr>
      <w:rPr>
        <w:rFonts w:asciiTheme="minorHAnsi" w:hAnsiTheme="minorHAnsi" w:cstheme="minorHAnsi"/>
        <w:sz w:val="20"/>
        <w:szCs w:val="20"/>
      </w:rPr>
    </w:sdtEndPr>
    <w:sdtContent>
      <w:sdt>
        <w:sdtPr>
          <w:id w:val="-1851869733"/>
          <w:docPartObj>
            <w:docPartGallery w:val="Page Numbers (Top of Page)"/>
            <w:docPartUnique/>
          </w:docPartObj>
        </w:sdtPr>
        <w:sdtEndPr>
          <w:rPr>
            <w:rFonts w:asciiTheme="minorHAnsi" w:hAnsiTheme="minorHAnsi" w:cstheme="minorHAnsi"/>
            <w:sz w:val="20"/>
            <w:szCs w:val="20"/>
          </w:rPr>
        </w:sdtEndPr>
        <w:sdtContent>
          <w:p w14:paraId="5B2E2533" w14:textId="6353A655" w:rsidR="003F5795" w:rsidRDefault="003F5795" w:rsidP="006E6B8E">
            <w:pPr>
              <w:pStyle w:val="Footer"/>
              <w:pBdr>
                <w:top w:val="single" w:sz="4" w:space="1" w:color="auto"/>
              </w:pBdr>
              <w:jc w:val="right"/>
            </w:pPr>
            <w:r w:rsidRPr="006E6B8E">
              <w:rPr>
                <w:rFonts w:asciiTheme="minorHAnsi" w:hAnsiTheme="minorHAnsi" w:cstheme="minorHAnsi"/>
                <w:sz w:val="20"/>
                <w:szCs w:val="20"/>
              </w:rPr>
              <w:t xml:space="preserve">Page </w:t>
            </w:r>
            <w:r w:rsidRPr="006E6B8E">
              <w:rPr>
                <w:rFonts w:asciiTheme="minorHAnsi" w:hAnsiTheme="minorHAnsi" w:cstheme="minorHAnsi"/>
                <w:b/>
                <w:bCs/>
                <w:sz w:val="20"/>
                <w:szCs w:val="20"/>
              </w:rPr>
              <w:fldChar w:fldCharType="begin"/>
            </w:r>
            <w:r w:rsidRPr="006E6B8E">
              <w:rPr>
                <w:rFonts w:asciiTheme="minorHAnsi" w:hAnsiTheme="minorHAnsi" w:cstheme="minorHAnsi"/>
                <w:b/>
                <w:bCs/>
                <w:sz w:val="20"/>
                <w:szCs w:val="20"/>
              </w:rPr>
              <w:instrText xml:space="preserve"> PAGE </w:instrText>
            </w:r>
            <w:r w:rsidRPr="006E6B8E">
              <w:rPr>
                <w:rFonts w:asciiTheme="minorHAnsi" w:hAnsiTheme="minorHAnsi" w:cstheme="minorHAnsi"/>
                <w:b/>
                <w:bCs/>
                <w:sz w:val="20"/>
                <w:szCs w:val="20"/>
              </w:rPr>
              <w:fldChar w:fldCharType="separate"/>
            </w:r>
            <w:r w:rsidR="00A016B6">
              <w:rPr>
                <w:rFonts w:asciiTheme="minorHAnsi" w:hAnsiTheme="minorHAnsi" w:cstheme="minorHAnsi"/>
                <w:b/>
                <w:bCs/>
                <w:noProof/>
                <w:sz w:val="20"/>
                <w:szCs w:val="20"/>
              </w:rPr>
              <w:t>1</w:t>
            </w:r>
            <w:r w:rsidRPr="006E6B8E">
              <w:rPr>
                <w:rFonts w:asciiTheme="minorHAnsi" w:hAnsiTheme="minorHAnsi" w:cstheme="minorHAnsi"/>
                <w:b/>
                <w:bCs/>
                <w:sz w:val="20"/>
                <w:szCs w:val="20"/>
              </w:rPr>
              <w:fldChar w:fldCharType="end"/>
            </w:r>
            <w:r w:rsidRPr="006E6B8E">
              <w:rPr>
                <w:rFonts w:asciiTheme="minorHAnsi" w:hAnsiTheme="minorHAnsi" w:cstheme="minorHAnsi"/>
                <w:sz w:val="20"/>
                <w:szCs w:val="20"/>
              </w:rPr>
              <w:t xml:space="preserve"> of 8</w:t>
            </w:r>
          </w:p>
        </w:sdtContent>
      </w:sdt>
    </w:sdtContent>
  </w:sdt>
  <w:p w14:paraId="145600DD" w14:textId="77777777" w:rsidR="003F5795" w:rsidRDefault="003F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8442" w14:textId="77777777" w:rsidR="00133590" w:rsidRDefault="00133590">
      <w:r>
        <w:separator/>
      </w:r>
    </w:p>
  </w:footnote>
  <w:footnote w:type="continuationSeparator" w:id="0">
    <w:p w14:paraId="6EDDA03E" w14:textId="77777777" w:rsidR="00133590" w:rsidRDefault="0013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C2A8" w14:textId="77777777" w:rsidR="003F5795" w:rsidRDefault="00133590">
    <w:pPr>
      <w:pStyle w:val="Header"/>
    </w:pPr>
    <w:r>
      <w:rPr>
        <w:noProof/>
      </w:rPr>
      <w:pict w14:anchorId="0A94B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7" o:spid="_x0000_s2050" type="#_x0000_t75" style="position:absolute;margin-left:0;margin-top:0;width:6in;height:8in;z-index:-251658240;mso-position-horizontal:center;mso-position-horizontal-relative:margin;mso-position-vertical:center;mso-position-vertical-relative:margin" o:allowincell="f">
          <v:imagedata r:id="rId1" o:title="Slide1" gain="19661f" blacklevel="22938f"/>
          <w10:wrap anchorx="margin" anchory="margin"/>
        </v:shape>
      </w:pict>
    </w:r>
  </w:p>
  <w:p w14:paraId="0C3F8C56" w14:textId="77777777" w:rsidR="003F5795" w:rsidRDefault="003F5795"/>
  <w:p w14:paraId="7CF788E5" w14:textId="77777777" w:rsidR="003F5795" w:rsidRDefault="003F5795"/>
  <w:p w14:paraId="3F4BA83C" w14:textId="77777777" w:rsidR="003F5795" w:rsidRDefault="003F5795"/>
  <w:p w14:paraId="5481E721" w14:textId="77777777" w:rsidR="003F5795" w:rsidRDefault="003F57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D7EC" w14:textId="5DEEC383" w:rsidR="003F5795" w:rsidRPr="009D67C8" w:rsidRDefault="003F5795" w:rsidP="009D67C8">
    <w:pPr>
      <w:pBdr>
        <w:bottom w:val="single" w:sz="4" w:space="1" w:color="auto"/>
      </w:pBdr>
      <w:tabs>
        <w:tab w:val="center" w:pos="7371"/>
        <w:tab w:val="left" w:pos="8309"/>
        <w:tab w:val="right" w:pos="8364"/>
      </w:tabs>
      <w:ind w:right="-55"/>
      <w:rPr>
        <w:rFonts w:asciiTheme="minorHAnsi" w:eastAsiaTheme="minorEastAsia" w:hAnsiTheme="minorHAnsi" w:cstheme="minorBidi"/>
        <w:b/>
        <w:i/>
        <w:sz w:val="18"/>
        <w:szCs w:val="18"/>
        <w:lang w:val="en-ZA" w:eastAsia="en-ZA"/>
      </w:rPr>
    </w:pPr>
    <w:r w:rsidRPr="009D67C8">
      <w:rPr>
        <w:rFonts w:asciiTheme="minorHAnsi" w:eastAsiaTheme="minorEastAsia" w:hAnsiTheme="minorHAnsi" w:cstheme="minorBidi"/>
        <w:b/>
        <w:i/>
        <w:sz w:val="18"/>
        <w:szCs w:val="18"/>
        <w:lang w:val="en-ZA" w:eastAsia="en-ZA"/>
      </w:rPr>
      <w:t>Msunduzi Municipality</w:t>
    </w:r>
    <w:r w:rsidRPr="009D67C8">
      <w:rPr>
        <w:rFonts w:asciiTheme="minorHAnsi" w:eastAsiaTheme="minorEastAsia" w:hAnsiTheme="minorHAnsi" w:cstheme="minorBidi"/>
        <w:b/>
        <w:i/>
        <w:sz w:val="18"/>
        <w:szCs w:val="18"/>
        <w:lang w:val="en-ZA" w:eastAsia="en-ZA"/>
      </w:rPr>
      <w:tab/>
      <w:t xml:space="preserve">                             </w:t>
    </w:r>
    <w:r w:rsidR="0062292C">
      <w:rPr>
        <w:rFonts w:asciiTheme="minorHAnsi" w:eastAsiaTheme="minorEastAsia" w:hAnsiTheme="minorHAnsi" w:cstheme="minorBidi"/>
        <w:b/>
        <w:i/>
        <w:sz w:val="18"/>
        <w:szCs w:val="18"/>
        <w:lang w:val="en-ZA" w:eastAsia="en-ZA"/>
      </w:rPr>
      <w:t>Draft</w:t>
    </w:r>
    <w:r w:rsidRPr="009D67C8">
      <w:rPr>
        <w:rFonts w:asciiTheme="minorHAnsi" w:eastAsiaTheme="minorEastAsia" w:hAnsiTheme="minorHAnsi" w:cstheme="minorBidi"/>
        <w:b/>
        <w:i/>
        <w:sz w:val="18"/>
        <w:szCs w:val="18"/>
        <w:lang w:val="en-ZA" w:eastAsia="en-ZA"/>
      </w:rPr>
      <w:t xml:space="preserve"> </w:t>
    </w:r>
    <w:r>
      <w:rPr>
        <w:rFonts w:asciiTheme="minorHAnsi" w:eastAsiaTheme="minorEastAsia" w:hAnsiTheme="minorHAnsi" w:cstheme="minorBidi"/>
        <w:b/>
        <w:i/>
        <w:sz w:val="18"/>
        <w:szCs w:val="18"/>
        <w:lang w:val="en-ZA" w:eastAsia="en-ZA"/>
      </w:rPr>
      <w:t xml:space="preserve">Impairment Policy </w:t>
    </w:r>
    <w:r w:rsidR="007F4F15">
      <w:rPr>
        <w:rFonts w:asciiTheme="minorHAnsi" w:eastAsiaTheme="minorEastAsia" w:hAnsiTheme="minorHAnsi" w:cstheme="minorBidi"/>
        <w:b/>
        <w:i/>
        <w:sz w:val="18"/>
        <w:szCs w:val="18"/>
        <w:lang w:val="en-ZA" w:eastAsia="en-ZA"/>
      </w:rPr>
      <w:t>2022/2023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8F8F" w14:textId="77777777" w:rsidR="003F5795" w:rsidRDefault="00133590">
    <w:pPr>
      <w:pStyle w:val="Header"/>
    </w:pPr>
    <w:r>
      <w:rPr>
        <w:noProof/>
      </w:rPr>
      <w:pict w14:anchorId="05E6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6" o:spid="_x0000_s2049" type="#_x0000_t75" style="position:absolute;margin-left:0;margin-top:0;width:6in;height:8in;z-index:-251659264;mso-position-horizontal:center;mso-position-horizontal-relative:margin;mso-position-vertical:center;mso-position-vertical-relative:margin" o:allowincell="f">
          <v:imagedata r:id="rId1" o:title="Slide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5EC5" w14:textId="5558E3AA" w:rsidR="003F5795" w:rsidRPr="009D67C8" w:rsidRDefault="003F5795" w:rsidP="009D67C8">
    <w:pPr>
      <w:pBdr>
        <w:bottom w:val="single" w:sz="4" w:space="1" w:color="auto"/>
      </w:pBdr>
      <w:tabs>
        <w:tab w:val="center" w:pos="7371"/>
        <w:tab w:val="left" w:pos="8309"/>
        <w:tab w:val="right" w:pos="8364"/>
      </w:tabs>
      <w:ind w:right="-55"/>
      <w:rPr>
        <w:rFonts w:asciiTheme="minorHAnsi" w:eastAsiaTheme="minorEastAsia" w:hAnsiTheme="minorHAnsi" w:cstheme="minorBidi"/>
        <w:b/>
        <w:i/>
        <w:sz w:val="18"/>
        <w:szCs w:val="18"/>
        <w:lang w:val="en-ZA" w:eastAsia="en-ZA"/>
      </w:rPr>
    </w:pPr>
    <w:r w:rsidRPr="009D67C8">
      <w:rPr>
        <w:rFonts w:asciiTheme="minorHAnsi" w:eastAsiaTheme="minorEastAsia" w:hAnsiTheme="minorHAnsi" w:cstheme="minorBidi"/>
        <w:b/>
        <w:i/>
        <w:sz w:val="18"/>
        <w:szCs w:val="18"/>
        <w:lang w:val="en-ZA" w:eastAsia="en-ZA"/>
      </w:rPr>
      <w:t>Msunduzi Municipality</w:t>
    </w:r>
    <w:r w:rsidRPr="009D67C8">
      <w:rPr>
        <w:rFonts w:asciiTheme="minorHAnsi" w:eastAsiaTheme="minorEastAsia" w:hAnsiTheme="minorHAnsi" w:cstheme="minorBidi"/>
        <w:b/>
        <w:i/>
        <w:sz w:val="18"/>
        <w:szCs w:val="18"/>
        <w:lang w:val="en-ZA" w:eastAsia="en-ZA"/>
      </w:rPr>
      <w:tab/>
      <w:t xml:space="preserve">                              </w:t>
    </w:r>
    <w:r w:rsidR="00B97D7C">
      <w:rPr>
        <w:rFonts w:asciiTheme="minorHAnsi" w:eastAsiaTheme="minorEastAsia" w:hAnsiTheme="minorHAnsi" w:cstheme="minorBidi"/>
        <w:b/>
        <w:i/>
        <w:sz w:val="18"/>
        <w:szCs w:val="18"/>
        <w:lang w:val="en-ZA" w:eastAsia="en-ZA"/>
      </w:rPr>
      <w:t>Impairment</w:t>
    </w:r>
    <w:r w:rsidR="00801438">
      <w:rPr>
        <w:rFonts w:asciiTheme="minorHAnsi" w:eastAsiaTheme="minorEastAsia" w:hAnsiTheme="minorHAnsi" w:cstheme="minorBidi"/>
        <w:b/>
        <w:i/>
        <w:sz w:val="18"/>
        <w:szCs w:val="18"/>
        <w:lang w:val="en-ZA" w:eastAsia="en-ZA"/>
      </w:rPr>
      <w:t xml:space="preserve"> Policy 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24B"/>
    <w:multiLevelType w:val="multilevel"/>
    <w:tmpl w:val="1E061184"/>
    <w:lvl w:ilvl="0">
      <w:start w:val="5"/>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30D88"/>
    <w:multiLevelType w:val="hybridMultilevel"/>
    <w:tmpl w:val="7938BB34"/>
    <w:lvl w:ilvl="0" w:tplc="3028C920">
      <w:start w:val="32"/>
      <w:numFmt w:val="decimal"/>
      <w:pStyle w:val="Heading5"/>
      <w:lvlText w:val="%1"/>
      <w:lvlJc w:val="left"/>
      <w:pPr>
        <w:tabs>
          <w:tab w:val="num" w:pos="900"/>
        </w:tabs>
        <w:ind w:left="900" w:hanging="540"/>
      </w:pPr>
      <w:rPr>
        <w:rFonts w:hint="default"/>
        <w:u w:val="none"/>
      </w:rPr>
    </w:lvl>
    <w:lvl w:ilvl="1" w:tplc="6DB8957C" w:tentative="1">
      <w:start w:val="1"/>
      <w:numFmt w:val="lowerLetter"/>
      <w:lvlText w:val="%2."/>
      <w:lvlJc w:val="left"/>
      <w:pPr>
        <w:tabs>
          <w:tab w:val="num" w:pos="1440"/>
        </w:tabs>
        <w:ind w:left="1440" w:hanging="360"/>
      </w:pPr>
    </w:lvl>
    <w:lvl w:ilvl="2" w:tplc="2826C5FA" w:tentative="1">
      <w:start w:val="1"/>
      <w:numFmt w:val="lowerRoman"/>
      <w:lvlText w:val="%3."/>
      <w:lvlJc w:val="right"/>
      <w:pPr>
        <w:tabs>
          <w:tab w:val="num" w:pos="2160"/>
        </w:tabs>
        <w:ind w:left="2160" w:hanging="180"/>
      </w:pPr>
    </w:lvl>
    <w:lvl w:ilvl="3" w:tplc="838C01F8" w:tentative="1">
      <w:start w:val="1"/>
      <w:numFmt w:val="decimal"/>
      <w:lvlText w:val="%4."/>
      <w:lvlJc w:val="left"/>
      <w:pPr>
        <w:tabs>
          <w:tab w:val="num" w:pos="2880"/>
        </w:tabs>
        <w:ind w:left="2880" w:hanging="360"/>
      </w:pPr>
    </w:lvl>
    <w:lvl w:ilvl="4" w:tplc="FF5E5782" w:tentative="1">
      <w:start w:val="1"/>
      <w:numFmt w:val="lowerLetter"/>
      <w:lvlText w:val="%5."/>
      <w:lvlJc w:val="left"/>
      <w:pPr>
        <w:tabs>
          <w:tab w:val="num" w:pos="3600"/>
        </w:tabs>
        <w:ind w:left="3600" w:hanging="360"/>
      </w:pPr>
    </w:lvl>
    <w:lvl w:ilvl="5" w:tplc="6FC8CAE0" w:tentative="1">
      <w:start w:val="1"/>
      <w:numFmt w:val="lowerRoman"/>
      <w:lvlText w:val="%6."/>
      <w:lvlJc w:val="right"/>
      <w:pPr>
        <w:tabs>
          <w:tab w:val="num" w:pos="4320"/>
        </w:tabs>
        <w:ind w:left="4320" w:hanging="180"/>
      </w:pPr>
    </w:lvl>
    <w:lvl w:ilvl="6" w:tplc="81CAC4BA" w:tentative="1">
      <w:start w:val="1"/>
      <w:numFmt w:val="decimal"/>
      <w:lvlText w:val="%7."/>
      <w:lvlJc w:val="left"/>
      <w:pPr>
        <w:tabs>
          <w:tab w:val="num" w:pos="5040"/>
        </w:tabs>
        <w:ind w:left="5040" w:hanging="360"/>
      </w:pPr>
    </w:lvl>
    <w:lvl w:ilvl="7" w:tplc="98709A94" w:tentative="1">
      <w:start w:val="1"/>
      <w:numFmt w:val="lowerLetter"/>
      <w:lvlText w:val="%8."/>
      <w:lvlJc w:val="left"/>
      <w:pPr>
        <w:tabs>
          <w:tab w:val="num" w:pos="5760"/>
        </w:tabs>
        <w:ind w:left="5760" w:hanging="360"/>
      </w:pPr>
    </w:lvl>
    <w:lvl w:ilvl="8" w:tplc="ACCCAF28" w:tentative="1">
      <w:start w:val="1"/>
      <w:numFmt w:val="lowerRoman"/>
      <w:lvlText w:val="%9."/>
      <w:lvlJc w:val="right"/>
      <w:pPr>
        <w:tabs>
          <w:tab w:val="num" w:pos="6480"/>
        </w:tabs>
        <w:ind w:left="6480" w:hanging="180"/>
      </w:pPr>
    </w:lvl>
  </w:abstractNum>
  <w:abstractNum w:abstractNumId="2" w15:restartNumberingAfterBreak="0">
    <w:nsid w:val="0FA13B27"/>
    <w:multiLevelType w:val="multilevel"/>
    <w:tmpl w:val="2B1079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278D8"/>
    <w:multiLevelType w:val="multilevel"/>
    <w:tmpl w:val="1384F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326C15"/>
    <w:multiLevelType w:val="multilevel"/>
    <w:tmpl w:val="6DEC79C2"/>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990429"/>
    <w:multiLevelType w:val="multilevel"/>
    <w:tmpl w:val="A0509A08"/>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1122E1"/>
    <w:multiLevelType w:val="multilevel"/>
    <w:tmpl w:val="71FC726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7A66D9"/>
    <w:multiLevelType w:val="hybridMultilevel"/>
    <w:tmpl w:val="C732657A"/>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8" w15:restartNumberingAfterBreak="0">
    <w:nsid w:val="3A743C73"/>
    <w:multiLevelType w:val="multilevel"/>
    <w:tmpl w:val="7E38A9F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BE44CC"/>
    <w:multiLevelType w:val="hybridMultilevel"/>
    <w:tmpl w:val="0814424A"/>
    <w:lvl w:ilvl="0" w:tplc="79E0F902">
      <w:start w:val="1"/>
      <w:numFmt w:val="decimal"/>
      <w:pStyle w:val="Heading1"/>
      <w:lvlText w:val="%1."/>
      <w:lvlJc w:val="left"/>
      <w:pPr>
        <w:tabs>
          <w:tab w:val="num" w:pos="1080"/>
        </w:tabs>
        <w:ind w:left="1080" w:hanging="720"/>
      </w:pPr>
      <w:rPr>
        <w:rFonts w:hint="default"/>
        <w:u w:val="none"/>
      </w:rPr>
    </w:lvl>
    <w:lvl w:ilvl="1" w:tplc="CCE86262">
      <w:numFmt w:val="none"/>
      <w:lvlText w:val=""/>
      <w:lvlJc w:val="left"/>
      <w:pPr>
        <w:tabs>
          <w:tab w:val="num" w:pos="360"/>
        </w:tabs>
      </w:pPr>
    </w:lvl>
    <w:lvl w:ilvl="2" w:tplc="CB90F6A4">
      <w:numFmt w:val="none"/>
      <w:lvlText w:val=""/>
      <w:lvlJc w:val="left"/>
      <w:pPr>
        <w:tabs>
          <w:tab w:val="num" w:pos="360"/>
        </w:tabs>
      </w:pPr>
    </w:lvl>
    <w:lvl w:ilvl="3" w:tplc="907C5D7A">
      <w:numFmt w:val="none"/>
      <w:lvlText w:val=""/>
      <w:lvlJc w:val="left"/>
      <w:pPr>
        <w:tabs>
          <w:tab w:val="num" w:pos="360"/>
        </w:tabs>
      </w:pPr>
    </w:lvl>
    <w:lvl w:ilvl="4" w:tplc="A8BCC840">
      <w:numFmt w:val="none"/>
      <w:lvlText w:val=""/>
      <w:lvlJc w:val="left"/>
      <w:pPr>
        <w:tabs>
          <w:tab w:val="num" w:pos="360"/>
        </w:tabs>
      </w:pPr>
    </w:lvl>
    <w:lvl w:ilvl="5" w:tplc="F24E5090">
      <w:numFmt w:val="none"/>
      <w:lvlText w:val=""/>
      <w:lvlJc w:val="left"/>
      <w:pPr>
        <w:tabs>
          <w:tab w:val="num" w:pos="360"/>
        </w:tabs>
      </w:pPr>
    </w:lvl>
    <w:lvl w:ilvl="6" w:tplc="29EEEC02">
      <w:numFmt w:val="none"/>
      <w:lvlText w:val=""/>
      <w:lvlJc w:val="left"/>
      <w:pPr>
        <w:tabs>
          <w:tab w:val="num" w:pos="360"/>
        </w:tabs>
      </w:pPr>
    </w:lvl>
    <w:lvl w:ilvl="7" w:tplc="90BAC74A">
      <w:numFmt w:val="none"/>
      <w:lvlText w:val=""/>
      <w:lvlJc w:val="left"/>
      <w:pPr>
        <w:tabs>
          <w:tab w:val="num" w:pos="360"/>
        </w:tabs>
      </w:pPr>
    </w:lvl>
    <w:lvl w:ilvl="8" w:tplc="E92A8458">
      <w:numFmt w:val="none"/>
      <w:lvlText w:val=""/>
      <w:lvlJc w:val="left"/>
      <w:pPr>
        <w:tabs>
          <w:tab w:val="num" w:pos="360"/>
        </w:tabs>
      </w:pPr>
    </w:lvl>
  </w:abstractNum>
  <w:abstractNum w:abstractNumId="10" w15:restartNumberingAfterBreak="0">
    <w:nsid w:val="3B2A0A39"/>
    <w:multiLevelType w:val="multilevel"/>
    <w:tmpl w:val="AB7AD8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2D28C6"/>
    <w:multiLevelType w:val="multilevel"/>
    <w:tmpl w:val="A0509A08"/>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980FBA"/>
    <w:multiLevelType w:val="hybridMultilevel"/>
    <w:tmpl w:val="B3D6A1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6B40088"/>
    <w:multiLevelType w:val="multilevel"/>
    <w:tmpl w:val="14F68E2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C809C7"/>
    <w:multiLevelType w:val="hybridMultilevel"/>
    <w:tmpl w:val="FC086934"/>
    <w:lvl w:ilvl="0" w:tplc="EDFEC7D4">
      <w:start w:val="10"/>
      <w:numFmt w:val="decimal"/>
      <w:pStyle w:val="Heading7"/>
      <w:lvlText w:val="%1"/>
      <w:lvlJc w:val="left"/>
      <w:pPr>
        <w:tabs>
          <w:tab w:val="num" w:pos="720"/>
        </w:tabs>
        <w:ind w:left="720" w:hanging="360"/>
      </w:pPr>
      <w:rPr>
        <w:rFonts w:hint="default"/>
        <w:u w:val="none"/>
      </w:rPr>
    </w:lvl>
    <w:lvl w:ilvl="1" w:tplc="A83E033E" w:tentative="1">
      <w:start w:val="1"/>
      <w:numFmt w:val="lowerLetter"/>
      <w:lvlText w:val="%2."/>
      <w:lvlJc w:val="left"/>
      <w:pPr>
        <w:tabs>
          <w:tab w:val="num" w:pos="1440"/>
        </w:tabs>
        <w:ind w:left="1440" w:hanging="360"/>
      </w:pPr>
    </w:lvl>
    <w:lvl w:ilvl="2" w:tplc="C5E8D446" w:tentative="1">
      <w:start w:val="1"/>
      <w:numFmt w:val="lowerRoman"/>
      <w:lvlText w:val="%3."/>
      <w:lvlJc w:val="right"/>
      <w:pPr>
        <w:tabs>
          <w:tab w:val="num" w:pos="2160"/>
        </w:tabs>
        <w:ind w:left="2160" w:hanging="180"/>
      </w:pPr>
    </w:lvl>
    <w:lvl w:ilvl="3" w:tplc="11D0C58A" w:tentative="1">
      <w:start w:val="1"/>
      <w:numFmt w:val="decimal"/>
      <w:lvlText w:val="%4."/>
      <w:lvlJc w:val="left"/>
      <w:pPr>
        <w:tabs>
          <w:tab w:val="num" w:pos="2880"/>
        </w:tabs>
        <w:ind w:left="2880" w:hanging="360"/>
      </w:pPr>
    </w:lvl>
    <w:lvl w:ilvl="4" w:tplc="E0BE8648" w:tentative="1">
      <w:start w:val="1"/>
      <w:numFmt w:val="lowerLetter"/>
      <w:lvlText w:val="%5."/>
      <w:lvlJc w:val="left"/>
      <w:pPr>
        <w:tabs>
          <w:tab w:val="num" w:pos="3600"/>
        </w:tabs>
        <w:ind w:left="3600" w:hanging="360"/>
      </w:pPr>
    </w:lvl>
    <w:lvl w:ilvl="5" w:tplc="F2346DB8" w:tentative="1">
      <w:start w:val="1"/>
      <w:numFmt w:val="lowerRoman"/>
      <w:lvlText w:val="%6."/>
      <w:lvlJc w:val="right"/>
      <w:pPr>
        <w:tabs>
          <w:tab w:val="num" w:pos="4320"/>
        </w:tabs>
        <w:ind w:left="4320" w:hanging="180"/>
      </w:pPr>
    </w:lvl>
    <w:lvl w:ilvl="6" w:tplc="96F0F572" w:tentative="1">
      <w:start w:val="1"/>
      <w:numFmt w:val="decimal"/>
      <w:lvlText w:val="%7."/>
      <w:lvlJc w:val="left"/>
      <w:pPr>
        <w:tabs>
          <w:tab w:val="num" w:pos="5040"/>
        </w:tabs>
        <w:ind w:left="5040" w:hanging="360"/>
      </w:pPr>
    </w:lvl>
    <w:lvl w:ilvl="7" w:tplc="9AA4FB90" w:tentative="1">
      <w:start w:val="1"/>
      <w:numFmt w:val="lowerLetter"/>
      <w:lvlText w:val="%8."/>
      <w:lvlJc w:val="left"/>
      <w:pPr>
        <w:tabs>
          <w:tab w:val="num" w:pos="5760"/>
        </w:tabs>
        <w:ind w:left="5760" w:hanging="360"/>
      </w:pPr>
    </w:lvl>
    <w:lvl w:ilvl="8" w:tplc="6A66694A" w:tentative="1">
      <w:start w:val="1"/>
      <w:numFmt w:val="lowerRoman"/>
      <w:lvlText w:val="%9."/>
      <w:lvlJc w:val="right"/>
      <w:pPr>
        <w:tabs>
          <w:tab w:val="num" w:pos="6480"/>
        </w:tabs>
        <w:ind w:left="6480" w:hanging="180"/>
      </w:pPr>
    </w:lvl>
  </w:abstractNum>
  <w:abstractNum w:abstractNumId="15" w15:restartNumberingAfterBreak="0">
    <w:nsid w:val="72502E6A"/>
    <w:multiLevelType w:val="multilevel"/>
    <w:tmpl w:val="DF348B16"/>
    <w:lvl w:ilvl="0">
      <w:start w:val="6"/>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1A024B"/>
    <w:multiLevelType w:val="hybridMultilevel"/>
    <w:tmpl w:val="83C0067C"/>
    <w:lvl w:ilvl="0" w:tplc="7DD4BB46">
      <w:start w:val="1"/>
      <w:numFmt w:val="lowerLetter"/>
      <w:lvlText w:val="(%1)"/>
      <w:lvlJc w:val="left"/>
      <w:pPr>
        <w:tabs>
          <w:tab w:val="num" w:pos="1440"/>
        </w:tabs>
        <w:ind w:left="1440" w:hanging="720"/>
      </w:pPr>
      <w:rPr>
        <w:rFonts w:hint="default"/>
      </w:rPr>
    </w:lvl>
    <w:lvl w:ilvl="1" w:tplc="F28A3682" w:tentative="1">
      <w:start w:val="1"/>
      <w:numFmt w:val="lowerLetter"/>
      <w:lvlText w:val="%2."/>
      <w:lvlJc w:val="left"/>
      <w:pPr>
        <w:tabs>
          <w:tab w:val="num" w:pos="1800"/>
        </w:tabs>
        <w:ind w:left="1800" w:hanging="360"/>
      </w:pPr>
    </w:lvl>
    <w:lvl w:ilvl="2" w:tplc="86E0C280" w:tentative="1">
      <w:start w:val="1"/>
      <w:numFmt w:val="lowerRoman"/>
      <w:lvlText w:val="%3."/>
      <w:lvlJc w:val="right"/>
      <w:pPr>
        <w:tabs>
          <w:tab w:val="num" w:pos="2520"/>
        </w:tabs>
        <w:ind w:left="2520" w:hanging="180"/>
      </w:pPr>
    </w:lvl>
    <w:lvl w:ilvl="3" w:tplc="2F6A6B70" w:tentative="1">
      <w:start w:val="1"/>
      <w:numFmt w:val="decimal"/>
      <w:lvlText w:val="%4."/>
      <w:lvlJc w:val="left"/>
      <w:pPr>
        <w:tabs>
          <w:tab w:val="num" w:pos="3240"/>
        </w:tabs>
        <w:ind w:left="3240" w:hanging="360"/>
      </w:pPr>
    </w:lvl>
    <w:lvl w:ilvl="4" w:tplc="3C420AFA" w:tentative="1">
      <w:start w:val="1"/>
      <w:numFmt w:val="lowerLetter"/>
      <w:lvlText w:val="%5."/>
      <w:lvlJc w:val="left"/>
      <w:pPr>
        <w:tabs>
          <w:tab w:val="num" w:pos="3960"/>
        </w:tabs>
        <w:ind w:left="3960" w:hanging="360"/>
      </w:pPr>
    </w:lvl>
    <w:lvl w:ilvl="5" w:tplc="78EA257A" w:tentative="1">
      <w:start w:val="1"/>
      <w:numFmt w:val="lowerRoman"/>
      <w:lvlText w:val="%6."/>
      <w:lvlJc w:val="right"/>
      <w:pPr>
        <w:tabs>
          <w:tab w:val="num" w:pos="4680"/>
        </w:tabs>
        <w:ind w:left="4680" w:hanging="180"/>
      </w:pPr>
    </w:lvl>
    <w:lvl w:ilvl="6" w:tplc="405C6FA4" w:tentative="1">
      <w:start w:val="1"/>
      <w:numFmt w:val="decimal"/>
      <w:lvlText w:val="%7."/>
      <w:lvlJc w:val="left"/>
      <w:pPr>
        <w:tabs>
          <w:tab w:val="num" w:pos="5400"/>
        </w:tabs>
        <w:ind w:left="5400" w:hanging="360"/>
      </w:pPr>
    </w:lvl>
    <w:lvl w:ilvl="7" w:tplc="7A30F178" w:tentative="1">
      <w:start w:val="1"/>
      <w:numFmt w:val="lowerLetter"/>
      <w:lvlText w:val="%8."/>
      <w:lvlJc w:val="left"/>
      <w:pPr>
        <w:tabs>
          <w:tab w:val="num" w:pos="6120"/>
        </w:tabs>
        <w:ind w:left="6120" w:hanging="360"/>
      </w:pPr>
    </w:lvl>
    <w:lvl w:ilvl="8" w:tplc="3E8E3A3E" w:tentative="1">
      <w:start w:val="1"/>
      <w:numFmt w:val="lowerRoman"/>
      <w:lvlText w:val="%9."/>
      <w:lvlJc w:val="right"/>
      <w:pPr>
        <w:tabs>
          <w:tab w:val="num" w:pos="6840"/>
        </w:tabs>
        <w:ind w:left="6840" w:hanging="180"/>
      </w:pPr>
    </w:lvl>
  </w:abstractNum>
  <w:abstractNum w:abstractNumId="17" w15:restartNumberingAfterBreak="0">
    <w:nsid w:val="7A58662F"/>
    <w:multiLevelType w:val="multilevel"/>
    <w:tmpl w:val="EC6CA766"/>
    <w:lvl w:ilvl="0">
      <w:start w:val="5"/>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14"/>
  </w:num>
  <w:num w:numId="4">
    <w:abstractNumId w:val="16"/>
  </w:num>
  <w:num w:numId="5">
    <w:abstractNumId w:val="3"/>
  </w:num>
  <w:num w:numId="6">
    <w:abstractNumId w:val="6"/>
  </w:num>
  <w:num w:numId="7">
    <w:abstractNumId w:val="13"/>
  </w:num>
  <w:num w:numId="8">
    <w:abstractNumId w:val="5"/>
  </w:num>
  <w:num w:numId="9">
    <w:abstractNumId w:val="4"/>
  </w:num>
  <w:num w:numId="10">
    <w:abstractNumId w:val="0"/>
  </w:num>
  <w:num w:numId="11">
    <w:abstractNumId w:val="8"/>
  </w:num>
  <w:num w:numId="12">
    <w:abstractNumId w:val="17"/>
  </w:num>
  <w:num w:numId="13">
    <w:abstractNumId w:val="15"/>
  </w:num>
  <w:num w:numId="14">
    <w:abstractNumId w:val="2"/>
  </w:num>
  <w:num w:numId="15">
    <w:abstractNumId w:val="7"/>
  </w:num>
  <w:num w:numId="16">
    <w:abstractNumId w:val="12"/>
  </w:num>
  <w:num w:numId="17">
    <w:abstractNumId w:val="9"/>
    <w:lvlOverride w:ilvl="0">
      <w:startOverride w:val="7"/>
    </w:lvlOverride>
  </w:num>
  <w:num w:numId="18">
    <w:abstractNumId w:val="10"/>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D4"/>
    <w:rsid w:val="00000F62"/>
    <w:rsid w:val="0001024E"/>
    <w:rsid w:val="00012647"/>
    <w:rsid w:val="00013E7C"/>
    <w:rsid w:val="00014C78"/>
    <w:rsid w:val="00017DAA"/>
    <w:rsid w:val="000204D5"/>
    <w:rsid w:val="000225B7"/>
    <w:rsid w:val="0002333E"/>
    <w:rsid w:val="00027B52"/>
    <w:rsid w:val="00027F00"/>
    <w:rsid w:val="000344EE"/>
    <w:rsid w:val="00037573"/>
    <w:rsid w:val="00040B9B"/>
    <w:rsid w:val="0004272B"/>
    <w:rsid w:val="00043D4D"/>
    <w:rsid w:val="00044FF4"/>
    <w:rsid w:val="00045773"/>
    <w:rsid w:val="00047809"/>
    <w:rsid w:val="00047C8F"/>
    <w:rsid w:val="00050DC2"/>
    <w:rsid w:val="0005161C"/>
    <w:rsid w:val="00052788"/>
    <w:rsid w:val="00056A64"/>
    <w:rsid w:val="000571D5"/>
    <w:rsid w:val="00065F55"/>
    <w:rsid w:val="000667F0"/>
    <w:rsid w:val="000720C5"/>
    <w:rsid w:val="00073CFA"/>
    <w:rsid w:val="00077572"/>
    <w:rsid w:val="000800FA"/>
    <w:rsid w:val="00083A4C"/>
    <w:rsid w:val="00084D78"/>
    <w:rsid w:val="00084DBC"/>
    <w:rsid w:val="000869F4"/>
    <w:rsid w:val="00086DA9"/>
    <w:rsid w:val="00091BBF"/>
    <w:rsid w:val="00092969"/>
    <w:rsid w:val="00094867"/>
    <w:rsid w:val="000A0E9A"/>
    <w:rsid w:val="000A121C"/>
    <w:rsid w:val="000A1C77"/>
    <w:rsid w:val="000A472D"/>
    <w:rsid w:val="000A4BD9"/>
    <w:rsid w:val="000A5003"/>
    <w:rsid w:val="000B607E"/>
    <w:rsid w:val="000C1D49"/>
    <w:rsid w:val="000C4028"/>
    <w:rsid w:val="000C577C"/>
    <w:rsid w:val="000C5E64"/>
    <w:rsid w:val="000C7197"/>
    <w:rsid w:val="000D07EC"/>
    <w:rsid w:val="000D1B51"/>
    <w:rsid w:val="000D72A7"/>
    <w:rsid w:val="000E0630"/>
    <w:rsid w:val="000E2906"/>
    <w:rsid w:val="000E2B85"/>
    <w:rsid w:val="000E5778"/>
    <w:rsid w:val="000E5A3E"/>
    <w:rsid w:val="000E64E3"/>
    <w:rsid w:val="000E683D"/>
    <w:rsid w:val="000F17BF"/>
    <w:rsid w:val="000F1FA3"/>
    <w:rsid w:val="000F6C51"/>
    <w:rsid w:val="00100D7B"/>
    <w:rsid w:val="00101DDF"/>
    <w:rsid w:val="00103B2A"/>
    <w:rsid w:val="001045FB"/>
    <w:rsid w:val="0010586B"/>
    <w:rsid w:val="001128DD"/>
    <w:rsid w:val="00124D0F"/>
    <w:rsid w:val="001278B3"/>
    <w:rsid w:val="00131A94"/>
    <w:rsid w:val="00133590"/>
    <w:rsid w:val="0013557F"/>
    <w:rsid w:val="00140DD7"/>
    <w:rsid w:val="00144A35"/>
    <w:rsid w:val="0014683E"/>
    <w:rsid w:val="0014789D"/>
    <w:rsid w:val="0015332F"/>
    <w:rsid w:val="00154692"/>
    <w:rsid w:val="00155672"/>
    <w:rsid w:val="0016025D"/>
    <w:rsid w:val="00160CE1"/>
    <w:rsid w:val="001648B0"/>
    <w:rsid w:val="00164BE8"/>
    <w:rsid w:val="00173AF8"/>
    <w:rsid w:val="00173E33"/>
    <w:rsid w:val="00174531"/>
    <w:rsid w:val="00181089"/>
    <w:rsid w:val="00184572"/>
    <w:rsid w:val="0019183D"/>
    <w:rsid w:val="00191A17"/>
    <w:rsid w:val="00191E52"/>
    <w:rsid w:val="00193503"/>
    <w:rsid w:val="00194E8E"/>
    <w:rsid w:val="001A0B79"/>
    <w:rsid w:val="001A0E0F"/>
    <w:rsid w:val="001A5F1C"/>
    <w:rsid w:val="001A6D8E"/>
    <w:rsid w:val="001A750D"/>
    <w:rsid w:val="001B1F51"/>
    <w:rsid w:val="001B2D2E"/>
    <w:rsid w:val="001B71CF"/>
    <w:rsid w:val="001C0A89"/>
    <w:rsid w:val="001C505C"/>
    <w:rsid w:val="001C6A96"/>
    <w:rsid w:val="001D095F"/>
    <w:rsid w:val="001D0990"/>
    <w:rsid w:val="001D2396"/>
    <w:rsid w:val="001D33AD"/>
    <w:rsid w:val="001D72D0"/>
    <w:rsid w:val="001E25B6"/>
    <w:rsid w:val="001E319F"/>
    <w:rsid w:val="001E6881"/>
    <w:rsid w:val="001F233B"/>
    <w:rsid w:val="001F3408"/>
    <w:rsid w:val="001F4D4A"/>
    <w:rsid w:val="00201B93"/>
    <w:rsid w:val="00203472"/>
    <w:rsid w:val="00205210"/>
    <w:rsid w:val="00205545"/>
    <w:rsid w:val="00214E25"/>
    <w:rsid w:val="0021760B"/>
    <w:rsid w:val="002200D7"/>
    <w:rsid w:val="002209C4"/>
    <w:rsid w:val="0022234B"/>
    <w:rsid w:val="002223EE"/>
    <w:rsid w:val="00223960"/>
    <w:rsid w:val="0023128C"/>
    <w:rsid w:val="00231A81"/>
    <w:rsid w:val="0023301B"/>
    <w:rsid w:val="00235F0E"/>
    <w:rsid w:val="00236402"/>
    <w:rsid w:val="00242994"/>
    <w:rsid w:val="00245D8A"/>
    <w:rsid w:val="0025545D"/>
    <w:rsid w:val="002563E8"/>
    <w:rsid w:val="00256DF3"/>
    <w:rsid w:val="00257B46"/>
    <w:rsid w:val="0026036B"/>
    <w:rsid w:val="00263544"/>
    <w:rsid w:val="0026666A"/>
    <w:rsid w:val="00266910"/>
    <w:rsid w:val="0027133E"/>
    <w:rsid w:val="00273F1E"/>
    <w:rsid w:val="00282EBC"/>
    <w:rsid w:val="002861A0"/>
    <w:rsid w:val="00290270"/>
    <w:rsid w:val="002915AE"/>
    <w:rsid w:val="00292A46"/>
    <w:rsid w:val="00293548"/>
    <w:rsid w:val="002976C5"/>
    <w:rsid w:val="00297933"/>
    <w:rsid w:val="002A3D10"/>
    <w:rsid w:val="002A3E73"/>
    <w:rsid w:val="002A40E7"/>
    <w:rsid w:val="002A475E"/>
    <w:rsid w:val="002B3999"/>
    <w:rsid w:val="002B4C81"/>
    <w:rsid w:val="002B6079"/>
    <w:rsid w:val="002B6CC1"/>
    <w:rsid w:val="002B71B6"/>
    <w:rsid w:val="002B7AB1"/>
    <w:rsid w:val="002C08BB"/>
    <w:rsid w:val="002C304D"/>
    <w:rsid w:val="002C36B7"/>
    <w:rsid w:val="002C4C99"/>
    <w:rsid w:val="002C542C"/>
    <w:rsid w:val="002D11E0"/>
    <w:rsid w:val="002D30B6"/>
    <w:rsid w:val="002D684C"/>
    <w:rsid w:val="002D6F94"/>
    <w:rsid w:val="002E321F"/>
    <w:rsid w:val="002E4F24"/>
    <w:rsid w:val="002E52A2"/>
    <w:rsid w:val="002E6A1B"/>
    <w:rsid w:val="002E6B79"/>
    <w:rsid w:val="002E7B5A"/>
    <w:rsid w:val="002F077B"/>
    <w:rsid w:val="002F0AD9"/>
    <w:rsid w:val="002F6001"/>
    <w:rsid w:val="002F714F"/>
    <w:rsid w:val="0030228C"/>
    <w:rsid w:val="003035D7"/>
    <w:rsid w:val="00303E80"/>
    <w:rsid w:val="003046B6"/>
    <w:rsid w:val="00304EBF"/>
    <w:rsid w:val="00311592"/>
    <w:rsid w:val="003118A5"/>
    <w:rsid w:val="003118DF"/>
    <w:rsid w:val="00314401"/>
    <w:rsid w:val="00321057"/>
    <w:rsid w:val="0032179F"/>
    <w:rsid w:val="00324993"/>
    <w:rsid w:val="00324E63"/>
    <w:rsid w:val="00332A0D"/>
    <w:rsid w:val="00336692"/>
    <w:rsid w:val="00336C35"/>
    <w:rsid w:val="00337667"/>
    <w:rsid w:val="00337972"/>
    <w:rsid w:val="00337AC2"/>
    <w:rsid w:val="00341745"/>
    <w:rsid w:val="00344F77"/>
    <w:rsid w:val="003473B0"/>
    <w:rsid w:val="00351206"/>
    <w:rsid w:val="00357DB3"/>
    <w:rsid w:val="00362030"/>
    <w:rsid w:val="00362EE7"/>
    <w:rsid w:val="00366A72"/>
    <w:rsid w:val="003710DB"/>
    <w:rsid w:val="0037537A"/>
    <w:rsid w:val="00377D64"/>
    <w:rsid w:val="0038386F"/>
    <w:rsid w:val="003870A1"/>
    <w:rsid w:val="00387818"/>
    <w:rsid w:val="0039057D"/>
    <w:rsid w:val="00393AD1"/>
    <w:rsid w:val="003A0BA0"/>
    <w:rsid w:val="003A25D9"/>
    <w:rsid w:val="003A6940"/>
    <w:rsid w:val="003B0AE6"/>
    <w:rsid w:val="003B11EF"/>
    <w:rsid w:val="003B3CCE"/>
    <w:rsid w:val="003B4096"/>
    <w:rsid w:val="003B5D3F"/>
    <w:rsid w:val="003C2EB8"/>
    <w:rsid w:val="003D2E26"/>
    <w:rsid w:val="003D2F57"/>
    <w:rsid w:val="003D32F5"/>
    <w:rsid w:val="003D65F6"/>
    <w:rsid w:val="003E5476"/>
    <w:rsid w:val="003E7D31"/>
    <w:rsid w:val="003F0FA2"/>
    <w:rsid w:val="003F24DF"/>
    <w:rsid w:val="003F35E9"/>
    <w:rsid w:val="003F5795"/>
    <w:rsid w:val="004006F6"/>
    <w:rsid w:val="004011B2"/>
    <w:rsid w:val="00402533"/>
    <w:rsid w:val="00406A6E"/>
    <w:rsid w:val="00406BED"/>
    <w:rsid w:val="00413E7C"/>
    <w:rsid w:val="004159E1"/>
    <w:rsid w:val="00416320"/>
    <w:rsid w:val="0041758C"/>
    <w:rsid w:val="004179AB"/>
    <w:rsid w:val="00422814"/>
    <w:rsid w:val="00426517"/>
    <w:rsid w:val="0042790F"/>
    <w:rsid w:val="0044031B"/>
    <w:rsid w:val="0045251A"/>
    <w:rsid w:val="00452BCA"/>
    <w:rsid w:val="00454D8B"/>
    <w:rsid w:val="0045736B"/>
    <w:rsid w:val="004578F0"/>
    <w:rsid w:val="004607E7"/>
    <w:rsid w:val="004645E5"/>
    <w:rsid w:val="00466CCA"/>
    <w:rsid w:val="00471529"/>
    <w:rsid w:val="00473FBE"/>
    <w:rsid w:val="004770CE"/>
    <w:rsid w:val="00480F1C"/>
    <w:rsid w:val="00482BA8"/>
    <w:rsid w:val="00483517"/>
    <w:rsid w:val="00483BE6"/>
    <w:rsid w:val="0048509E"/>
    <w:rsid w:val="004878A2"/>
    <w:rsid w:val="00492538"/>
    <w:rsid w:val="00495194"/>
    <w:rsid w:val="004963A5"/>
    <w:rsid w:val="004A0CEA"/>
    <w:rsid w:val="004A1FF2"/>
    <w:rsid w:val="004A67F2"/>
    <w:rsid w:val="004B3BE2"/>
    <w:rsid w:val="004B4253"/>
    <w:rsid w:val="004B5A85"/>
    <w:rsid w:val="004C070A"/>
    <w:rsid w:val="004C1117"/>
    <w:rsid w:val="004C2F50"/>
    <w:rsid w:val="004C3C6A"/>
    <w:rsid w:val="004C575E"/>
    <w:rsid w:val="004C7F78"/>
    <w:rsid w:val="004D15F0"/>
    <w:rsid w:val="004D45FA"/>
    <w:rsid w:val="004D4CE4"/>
    <w:rsid w:val="004E0B0F"/>
    <w:rsid w:val="004E4579"/>
    <w:rsid w:val="004E558F"/>
    <w:rsid w:val="004E751E"/>
    <w:rsid w:val="004F0E0C"/>
    <w:rsid w:val="004F1B1E"/>
    <w:rsid w:val="004F1B50"/>
    <w:rsid w:val="004F735A"/>
    <w:rsid w:val="005009BD"/>
    <w:rsid w:val="0050147C"/>
    <w:rsid w:val="005016F0"/>
    <w:rsid w:val="00501D2D"/>
    <w:rsid w:val="00502685"/>
    <w:rsid w:val="0050789E"/>
    <w:rsid w:val="00507DA6"/>
    <w:rsid w:val="0051003A"/>
    <w:rsid w:val="00510D82"/>
    <w:rsid w:val="00512C00"/>
    <w:rsid w:val="00512D07"/>
    <w:rsid w:val="005155B7"/>
    <w:rsid w:val="00521920"/>
    <w:rsid w:val="005275D1"/>
    <w:rsid w:val="00527C2B"/>
    <w:rsid w:val="00530296"/>
    <w:rsid w:val="00530EFD"/>
    <w:rsid w:val="0053563E"/>
    <w:rsid w:val="00535BF3"/>
    <w:rsid w:val="00541CF4"/>
    <w:rsid w:val="00543A6B"/>
    <w:rsid w:val="00547593"/>
    <w:rsid w:val="00550CB5"/>
    <w:rsid w:val="00550E32"/>
    <w:rsid w:val="00552899"/>
    <w:rsid w:val="0056309F"/>
    <w:rsid w:val="00566A8B"/>
    <w:rsid w:val="00573B4F"/>
    <w:rsid w:val="005743E0"/>
    <w:rsid w:val="0057582A"/>
    <w:rsid w:val="0057681B"/>
    <w:rsid w:val="0057701C"/>
    <w:rsid w:val="005776AE"/>
    <w:rsid w:val="00580394"/>
    <w:rsid w:val="00580F9B"/>
    <w:rsid w:val="005819BE"/>
    <w:rsid w:val="00582AA7"/>
    <w:rsid w:val="00583EC0"/>
    <w:rsid w:val="005852BE"/>
    <w:rsid w:val="00587EB4"/>
    <w:rsid w:val="005920FD"/>
    <w:rsid w:val="005930E6"/>
    <w:rsid w:val="0059783E"/>
    <w:rsid w:val="00597A92"/>
    <w:rsid w:val="005A1901"/>
    <w:rsid w:val="005B2177"/>
    <w:rsid w:val="005B4A36"/>
    <w:rsid w:val="005B4A67"/>
    <w:rsid w:val="005B7A18"/>
    <w:rsid w:val="005C0098"/>
    <w:rsid w:val="005C0F62"/>
    <w:rsid w:val="005C1956"/>
    <w:rsid w:val="005C3553"/>
    <w:rsid w:val="005C482F"/>
    <w:rsid w:val="005C6005"/>
    <w:rsid w:val="005C65D2"/>
    <w:rsid w:val="005D0FAB"/>
    <w:rsid w:val="005D1263"/>
    <w:rsid w:val="005D496E"/>
    <w:rsid w:val="005D4F41"/>
    <w:rsid w:val="005D6075"/>
    <w:rsid w:val="005D6B9F"/>
    <w:rsid w:val="005E1977"/>
    <w:rsid w:val="005E1A99"/>
    <w:rsid w:val="005F038B"/>
    <w:rsid w:val="005F06E9"/>
    <w:rsid w:val="005F360A"/>
    <w:rsid w:val="005F392D"/>
    <w:rsid w:val="005F64E9"/>
    <w:rsid w:val="005F6A78"/>
    <w:rsid w:val="006028A3"/>
    <w:rsid w:val="00602BB3"/>
    <w:rsid w:val="00603EAC"/>
    <w:rsid w:val="00604849"/>
    <w:rsid w:val="00606748"/>
    <w:rsid w:val="00607278"/>
    <w:rsid w:val="00611B51"/>
    <w:rsid w:val="00617E77"/>
    <w:rsid w:val="006223B1"/>
    <w:rsid w:val="0062292C"/>
    <w:rsid w:val="00624751"/>
    <w:rsid w:val="00624756"/>
    <w:rsid w:val="00624DF7"/>
    <w:rsid w:val="00627D0A"/>
    <w:rsid w:val="0063055F"/>
    <w:rsid w:val="00630D5E"/>
    <w:rsid w:val="00630F95"/>
    <w:rsid w:val="00632A87"/>
    <w:rsid w:val="0063358D"/>
    <w:rsid w:val="0063446E"/>
    <w:rsid w:val="006346EC"/>
    <w:rsid w:val="00645A98"/>
    <w:rsid w:val="00651275"/>
    <w:rsid w:val="00652470"/>
    <w:rsid w:val="00653D7B"/>
    <w:rsid w:val="00654F89"/>
    <w:rsid w:val="00661F26"/>
    <w:rsid w:val="006639A1"/>
    <w:rsid w:val="00664D09"/>
    <w:rsid w:val="0066574B"/>
    <w:rsid w:val="00665B39"/>
    <w:rsid w:val="00665EFB"/>
    <w:rsid w:val="00671837"/>
    <w:rsid w:val="0067489A"/>
    <w:rsid w:val="00674F2F"/>
    <w:rsid w:val="00674F9B"/>
    <w:rsid w:val="00676903"/>
    <w:rsid w:val="00680B84"/>
    <w:rsid w:val="00683CAA"/>
    <w:rsid w:val="0068442D"/>
    <w:rsid w:val="00691701"/>
    <w:rsid w:val="0069254B"/>
    <w:rsid w:val="00692583"/>
    <w:rsid w:val="0069285A"/>
    <w:rsid w:val="00692DCF"/>
    <w:rsid w:val="00693DE9"/>
    <w:rsid w:val="00695063"/>
    <w:rsid w:val="0069531E"/>
    <w:rsid w:val="006963B8"/>
    <w:rsid w:val="00697335"/>
    <w:rsid w:val="006A1CE8"/>
    <w:rsid w:val="006A2886"/>
    <w:rsid w:val="006A48CC"/>
    <w:rsid w:val="006A5CD3"/>
    <w:rsid w:val="006A670B"/>
    <w:rsid w:val="006B0D65"/>
    <w:rsid w:val="006B1704"/>
    <w:rsid w:val="006B28B0"/>
    <w:rsid w:val="006B3C13"/>
    <w:rsid w:val="006B4535"/>
    <w:rsid w:val="006B5491"/>
    <w:rsid w:val="006C0E6E"/>
    <w:rsid w:val="006C32E1"/>
    <w:rsid w:val="006C7E41"/>
    <w:rsid w:val="006D4F41"/>
    <w:rsid w:val="006D53E7"/>
    <w:rsid w:val="006D78CE"/>
    <w:rsid w:val="006E0FF7"/>
    <w:rsid w:val="006E17EF"/>
    <w:rsid w:val="006E1EA6"/>
    <w:rsid w:val="006E2309"/>
    <w:rsid w:val="006E38FE"/>
    <w:rsid w:val="006E6B8E"/>
    <w:rsid w:val="006E7367"/>
    <w:rsid w:val="006E7603"/>
    <w:rsid w:val="006F2420"/>
    <w:rsid w:val="006F6769"/>
    <w:rsid w:val="006F7B5E"/>
    <w:rsid w:val="006F7D05"/>
    <w:rsid w:val="00701F95"/>
    <w:rsid w:val="00702439"/>
    <w:rsid w:val="00725812"/>
    <w:rsid w:val="007310F7"/>
    <w:rsid w:val="007323FC"/>
    <w:rsid w:val="00737CD2"/>
    <w:rsid w:val="00740859"/>
    <w:rsid w:val="00741A25"/>
    <w:rsid w:val="00743F93"/>
    <w:rsid w:val="00756001"/>
    <w:rsid w:val="007577B9"/>
    <w:rsid w:val="00770122"/>
    <w:rsid w:val="0077317A"/>
    <w:rsid w:val="007807E6"/>
    <w:rsid w:val="00787E2D"/>
    <w:rsid w:val="00787EB3"/>
    <w:rsid w:val="00790F1D"/>
    <w:rsid w:val="00793961"/>
    <w:rsid w:val="00793C7A"/>
    <w:rsid w:val="00794528"/>
    <w:rsid w:val="007A14F7"/>
    <w:rsid w:val="007A7E82"/>
    <w:rsid w:val="007B130C"/>
    <w:rsid w:val="007B247B"/>
    <w:rsid w:val="007B3176"/>
    <w:rsid w:val="007B5642"/>
    <w:rsid w:val="007C0132"/>
    <w:rsid w:val="007C43A8"/>
    <w:rsid w:val="007D0125"/>
    <w:rsid w:val="007D10B6"/>
    <w:rsid w:val="007D227D"/>
    <w:rsid w:val="007D2B11"/>
    <w:rsid w:val="007D2CFD"/>
    <w:rsid w:val="007D5FFA"/>
    <w:rsid w:val="007E216D"/>
    <w:rsid w:val="007E4B84"/>
    <w:rsid w:val="007E4C18"/>
    <w:rsid w:val="007E77D2"/>
    <w:rsid w:val="007F4F15"/>
    <w:rsid w:val="007F6E77"/>
    <w:rsid w:val="00801438"/>
    <w:rsid w:val="00802577"/>
    <w:rsid w:val="0080442A"/>
    <w:rsid w:val="00817D2C"/>
    <w:rsid w:val="0082003C"/>
    <w:rsid w:val="00821284"/>
    <w:rsid w:val="00822ECE"/>
    <w:rsid w:val="008276AF"/>
    <w:rsid w:val="008304E5"/>
    <w:rsid w:val="00833305"/>
    <w:rsid w:val="0083569B"/>
    <w:rsid w:val="00837825"/>
    <w:rsid w:val="00842E0B"/>
    <w:rsid w:val="008460C2"/>
    <w:rsid w:val="00846D76"/>
    <w:rsid w:val="0084723E"/>
    <w:rsid w:val="00856D3C"/>
    <w:rsid w:val="008577D3"/>
    <w:rsid w:val="008627F7"/>
    <w:rsid w:val="00863C67"/>
    <w:rsid w:val="008648D6"/>
    <w:rsid w:val="0086595C"/>
    <w:rsid w:val="008667A5"/>
    <w:rsid w:val="00870B4F"/>
    <w:rsid w:val="00871473"/>
    <w:rsid w:val="00872104"/>
    <w:rsid w:val="00872FC6"/>
    <w:rsid w:val="0087326D"/>
    <w:rsid w:val="00873E45"/>
    <w:rsid w:val="00874E86"/>
    <w:rsid w:val="00875168"/>
    <w:rsid w:val="008767AD"/>
    <w:rsid w:val="00880839"/>
    <w:rsid w:val="00880D08"/>
    <w:rsid w:val="00883E67"/>
    <w:rsid w:val="008864C0"/>
    <w:rsid w:val="00887CE0"/>
    <w:rsid w:val="00890C0C"/>
    <w:rsid w:val="008910E3"/>
    <w:rsid w:val="008969F5"/>
    <w:rsid w:val="008976C0"/>
    <w:rsid w:val="008A151C"/>
    <w:rsid w:val="008A1F55"/>
    <w:rsid w:val="008A2340"/>
    <w:rsid w:val="008A4967"/>
    <w:rsid w:val="008A67CD"/>
    <w:rsid w:val="008A78B7"/>
    <w:rsid w:val="008B27F5"/>
    <w:rsid w:val="008B5EC8"/>
    <w:rsid w:val="008B6EC3"/>
    <w:rsid w:val="008B73BD"/>
    <w:rsid w:val="008B7D90"/>
    <w:rsid w:val="008C31C7"/>
    <w:rsid w:val="008C5F52"/>
    <w:rsid w:val="008C604C"/>
    <w:rsid w:val="008C6204"/>
    <w:rsid w:val="008C6B39"/>
    <w:rsid w:val="008C7C7D"/>
    <w:rsid w:val="008D0E99"/>
    <w:rsid w:val="008D141E"/>
    <w:rsid w:val="008D7727"/>
    <w:rsid w:val="008E2EFE"/>
    <w:rsid w:val="008E44AF"/>
    <w:rsid w:val="008F2EBC"/>
    <w:rsid w:val="008F2F41"/>
    <w:rsid w:val="008F364F"/>
    <w:rsid w:val="00905C9D"/>
    <w:rsid w:val="0091134F"/>
    <w:rsid w:val="009202F8"/>
    <w:rsid w:val="00920C87"/>
    <w:rsid w:val="0092266A"/>
    <w:rsid w:val="009231EC"/>
    <w:rsid w:val="00923645"/>
    <w:rsid w:val="009260B5"/>
    <w:rsid w:val="00926A0B"/>
    <w:rsid w:val="0093020C"/>
    <w:rsid w:val="009309A3"/>
    <w:rsid w:val="00935B48"/>
    <w:rsid w:val="0093713B"/>
    <w:rsid w:val="00941974"/>
    <w:rsid w:val="00946846"/>
    <w:rsid w:val="00946D1E"/>
    <w:rsid w:val="00946E67"/>
    <w:rsid w:val="0094710A"/>
    <w:rsid w:val="009479DC"/>
    <w:rsid w:val="00947D9A"/>
    <w:rsid w:val="00950E56"/>
    <w:rsid w:val="0095477A"/>
    <w:rsid w:val="0095480A"/>
    <w:rsid w:val="00957DCE"/>
    <w:rsid w:val="00960047"/>
    <w:rsid w:val="0096225F"/>
    <w:rsid w:val="00963DA1"/>
    <w:rsid w:val="00967D67"/>
    <w:rsid w:val="009709EA"/>
    <w:rsid w:val="0097702E"/>
    <w:rsid w:val="009831BF"/>
    <w:rsid w:val="00983E95"/>
    <w:rsid w:val="009853C0"/>
    <w:rsid w:val="009865E3"/>
    <w:rsid w:val="00987BFD"/>
    <w:rsid w:val="00990678"/>
    <w:rsid w:val="00990A18"/>
    <w:rsid w:val="00990B7B"/>
    <w:rsid w:val="009944ED"/>
    <w:rsid w:val="009A128D"/>
    <w:rsid w:val="009A14D4"/>
    <w:rsid w:val="009A177F"/>
    <w:rsid w:val="009A487D"/>
    <w:rsid w:val="009B1407"/>
    <w:rsid w:val="009B6089"/>
    <w:rsid w:val="009C11E5"/>
    <w:rsid w:val="009C4903"/>
    <w:rsid w:val="009C6E82"/>
    <w:rsid w:val="009D46C3"/>
    <w:rsid w:val="009D6100"/>
    <w:rsid w:val="009D67C8"/>
    <w:rsid w:val="009E067F"/>
    <w:rsid w:val="009E2531"/>
    <w:rsid w:val="009E572A"/>
    <w:rsid w:val="009F130E"/>
    <w:rsid w:val="009F3E0F"/>
    <w:rsid w:val="009F607B"/>
    <w:rsid w:val="00A00935"/>
    <w:rsid w:val="00A016B6"/>
    <w:rsid w:val="00A04828"/>
    <w:rsid w:val="00A12B16"/>
    <w:rsid w:val="00A12E2D"/>
    <w:rsid w:val="00A21CF1"/>
    <w:rsid w:val="00A2597B"/>
    <w:rsid w:val="00A26DD7"/>
    <w:rsid w:val="00A30672"/>
    <w:rsid w:val="00A316DF"/>
    <w:rsid w:val="00A343F2"/>
    <w:rsid w:val="00A357F7"/>
    <w:rsid w:val="00A35F66"/>
    <w:rsid w:val="00A36BF4"/>
    <w:rsid w:val="00A4081A"/>
    <w:rsid w:val="00A416C5"/>
    <w:rsid w:val="00A41DCE"/>
    <w:rsid w:val="00A509CE"/>
    <w:rsid w:val="00A53254"/>
    <w:rsid w:val="00A53A32"/>
    <w:rsid w:val="00A55E19"/>
    <w:rsid w:val="00A570F1"/>
    <w:rsid w:val="00A5773B"/>
    <w:rsid w:val="00A61A70"/>
    <w:rsid w:val="00A620E0"/>
    <w:rsid w:val="00A625DA"/>
    <w:rsid w:val="00A62FEE"/>
    <w:rsid w:val="00A65616"/>
    <w:rsid w:val="00A66A92"/>
    <w:rsid w:val="00A67850"/>
    <w:rsid w:val="00A717B7"/>
    <w:rsid w:val="00A722EB"/>
    <w:rsid w:val="00A723F6"/>
    <w:rsid w:val="00A7777E"/>
    <w:rsid w:val="00A80211"/>
    <w:rsid w:val="00A80ADF"/>
    <w:rsid w:val="00A82670"/>
    <w:rsid w:val="00A84417"/>
    <w:rsid w:val="00A858D7"/>
    <w:rsid w:val="00A85DE2"/>
    <w:rsid w:val="00A87E22"/>
    <w:rsid w:val="00A9047B"/>
    <w:rsid w:val="00A90F70"/>
    <w:rsid w:val="00A91C5E"/>
    <w:rsid w:val="00A951FE"/>
    <w:rsid w:val="00A97DB2"/>
    <w:rsid w:val="00AA27BF"/>
    <w:rsid w:val="00AB1038"/>
    <w:rsid w:val="00AB18E8"/>
    <w:rsid w:val="00AB3839"/>
    <w:rsid w:val="00AB6113"/>
    <w:rsid w:val="00AB78E8"/>
    <w:rsid w:val="00AC0093"/>
    <w:rsid w:val="00AC0C74"/>
    <w:rsid w:val="00AC4DA3"/>
    <w:rsid w:val="00AC54FC"/>
    <w:rsid w:val="00AC67C2"/>
    <w:rsid w:val="00AC69BA"/>
    <w:rsid w:val="00AD137C"/>
    <w:rsid w:val="00AD28A2"/>
    <w:rsid w:val="00AD2F9F"/>
    <w:rsid w:val="00AD3340"/>
    <w:rsid w:val="00AD3521"/>
    <w:rsid w:val="00AD3837"/>
    <w:rsid w:val="00AD5A9A"/>
    <w:rsid w:val="00AD7CAA"/>
    <w:rsid w:val="00AE1F75"/>
    <w:rsid w:val="00AE30A8"/>
    <w:rsid w:val="00AE34BF"/>
    <w:rsid w:val="00AE4C9B"/>
    <w:rsid w:val="00AF4344"/>
    <w:rsid w:val="00AF5686"/>
    <w:rsid w:val="00AF570D"/>
    <w:rsid w:val="00AF5CD5"/>
    <w:rsid w:val="00B01F59"/>
    <w:rsid w:val="00B039A3"/>
    <w:rsid w:val="00B10ED4"/>
    <w:rsid w:val="00B11D3C"/>
    <w:rsid w:val="00B164F6"/>
    <w:rsid w:val="00B16D5B"/>
    <w:rsid w:val="00B2039C"/>
    <w:rsid w:val="00B20A38"/>
    <w:rsid w:val="00B21CD2"/>
    <w:rsid w:val="00B2446B"/>
    <w:rsid w:val="00B246C1"/>
    <w:rsid w:val="00B25E43"/>
    <w:rsid w:val="00B2667E"/>
    <w:rsid w:val="00B34D11"/>
    <w:rsid w:val="00B353F3"/>
    <w:rsid w:val="00B35FAF"/>
    <w:rsid w:val="00B367F9"/>
    <w:rsid w:val="00B36B9E"/>
    <w:rsid w:val="00B40BF7"/>
    <w:rsid w:val="00B5253E"/>
    <w:rsid w:val="00B54E69"/>
    <w:rsid w:val="00B600AB"/>
    <w:rsid w:val="00B65BA5"/>
    <w:rsid w:val="00B708D2"/>
    <w:rsid w:val="00B70BAF"/>
    <w:rsid w:val="00B72F7F"/>
    <w:rsid w:val="00B74117"/>
    <w:rsid w:val="00B77B9C"/>
    <w:rsid w:val="00B8022A"/>
    <w:rsid w:val="00B810C6"/>
    <w:rsid w:val="00B82D5A"/>
    <w:rsid w:val="00B83C4B"/>
    <w:rsid w:val="00B840FB"/>
    <w:rsid w:val="00B859B7"/>
    <w:rsid w:val="00B8643C"/>
    <w:rsid w:val="00B90E99"/>
    <w:rsid w:val="00B90F4E"/>
    <w:rsid w:val="00B935EF"/>
    <w:rsid w:val="00B94B74"/>
    <w:rsid w:val="00B97D7C"/>
    <w:rsid w:val="00BA01D3"/>
    <w:rsid w:val="00BA150C"/>
    <w:rsid w:val="00BA4913"/>
    <w:rsid w:val="00BA5A0B"/>
    <w:rsid w:val="00BB13A9"/>
    <w:rsid w:val="00BB17D2"/>
    <w:rsid w:val="00BB1861"/>
    <w:rsid w:val="00BB1CA1"/>
    <w:rsid w:val="00BB44E5"/>
    <w:rsid w:val="00BB486A"/>
    <w:rsid w:val="00BC10E3"/>
    <w:rsid w:val="00BC1A4F"/>
    <w:rsid w:val="00BC2494"/>
    <w:rsid w:val="00BC4CEC"/>
    <w:rsid w:val="00BC5737"/>
    <w:rsid w:val="00BC75F5"/>
    <w:rsid w:val="00BC799C"/>
    <w:rsid w:val="00BD301E"/>
    <w:rsid w:val="00BD371C"/>
    <w:rsid w:val="00BD390E"/>
    <w:rsid w:val="00BD66AF"/>
    <w:rsid w:val="00BE3099"/>
    <w:rsid w:val="00BE3F30"/>
    <w:rsid w:val="00BE739F"/>
    <w:rsid w:val="00BE75C7"/>
    <w:rsid w:val="00BF1BE5"/>
    <w:rsid w:val="00BF3289"/>
    <w:rsid w:val="00BF4EA3"/>
    <w:rsid w:val="00C002FE"/>
    <w:rsid w:val="00C00A8D"/>
    <w:rsid w:val="00C012D8"/>
    <w:rsid w:val="00C11C2F"/>
    <w:rsid w:val="00C14689"/>
    <w:rsid w:val="00C16B32"/>
    <w:rsid w:val="00C16C91"/>
    <w:rsid w:val="00C20D13"/>
    <w:rsid w:val="00C228A4"/>
    <w:rsid w:val="00C2580A"/>
    <w:rsid w:val="00C27507"/>
    <w:rsid w:val="00C27B30"/>
    <w:rsid w:val="00C344C9"/>
    <w:rsid w:val="00C37E35"/>
    <w:rsid w:val="00C408B8"/>
    <w:rsid w:val="00C411AE"/>
    <w:rsid w:val="00C41409"/>
    <w:rsid w:val="00C438AE"/>
    <w:rsid w:val="00C44D50"/>
    <w:rsid w:val="00C50078"/>
    <w:rsid w:val="00C50B94"/>
    <w:rsid w:val="00C52941"/>
    <w:rsid w:val="00C52D62"/>
    <w:rsid w:val="00C53DC1"/>
    <w:rsid w:val="00C545C4"/>
    <w:rsid w:val="00C565AF"/>
    <w:rsid w:val="00C565F2"/>
    <w:rsid w:val="00C605FB"/>
    <w:rsid w:val="00C60E9E"/>
    <w:rsid w:val="00C64AA6"/>
    <w:rsid w:val="00C65002"/>
    <w:rsid w:val="00C653CA"/>
    <w:rsid w:val="00C6774F"/>
    <w:rsid w:val="00C67F80"/>
    <w:rsid w:val="00C70242"/>
    <w:rsid w:val="00C708E5"/>
    <w:rsid w:val="00C71FD7"/>
    <w:rsid w:val="00C758A6"/>
    <w:rsid w:val="00C774A6"/>
    <w:rsid w:val="00C77CBC"/>
    <w:rsid w:val="00C801F4"/>
    <w:rsid w:val="00C82692"/>
    <w:rsid w:val="00C846F7"/>
    <w:rsid w:val="00C85794"/>
    <w:rsid w:val="00C85A3F"/>
    <w:rsid w:val="00C92279"/>
    <w:rsid w:val="00CA092F"/>
    <w:rsid w:val="00CA0F96"/>
    <w:rsid w:val="00CA31CD"/>
    <w:rsid w:val="00CA4A71"/>
    <w:rsid w:val="00CA4ABE"/>
    <w:rsid w:val="00CB002F"/>
    <w:rsid w:val="00CB61DE"/>
    <w:rsid w:val="00CB641F"/>
    <w:rsid w:val="00CB71CC"/>
    <w:rsid w:val="00CC19C2"/>
    <w:rsid w:val="00CC4FA1"/>
    <w:rsid w:val="00CC596A"/>
    <w:rsid w:val="00CD27D6"/>
    <w:rsid w:val="00CD520C"/>
    <w:rsid w:val="00CE126E"/>
    <w:rsid w:val="00CE2588"/>
    <w:rsid w:val="00CF41A8"/>
    <w:rsid w:val="00CF4DE7"/>
    <w:rsid w:val="00CF5577"/>
    <w:rsid w:val="00CF5D91"/>
    <w:rsid w:val="00D045ED"/>
    <w:rsid w:val="00D05854"/>
    <w:rsid w:val="00D06641"/>
    <w:rsid w:val="00D07A66"/>
    <w:rsid w:val="00D10222"/>
    <w:rsid w:val="00D10B07"/>
    <w:rsid w:val="00D13860"/>
    <w:rsid w:val="00D1434E"/>
    <w:rsid w:val="00D17514"/>
    <w:rsid w:val="00D17C5E"/>
    <w:rsid w:val="00D2035D"/>
    <w:rsid w:val="00D30F37"/>
    <w:rsid w:val="00D31D88"/>
    <w:rsid w:val="00D3206D"/>
    <w:rsid w:val="00D323F6"/>
    <w:rsid w:val="00D34402"/>
    <w:rsid w:val="00D439E8"/>
    <w:rsid w:val="00D446B2"/>
    <w:rsid w:val="00D465D5"/>
    <w:rsid w:val="00D47444"/>
    <w:rsid w:val="00D47A07"/>
    <w:rsid w:val="00D500CD"/>
    <w:rsid w:val="00D51AEC"/>
    <w:rsid w:val="00D524C4"/>
    <w:rsid w:val="00D564AB"/>
    <w:rsid w:val="00D573E7"/>
    <w:rsid w:val="00D63AF4"/>
    <w:rsid w:val="00D649A0"/>
    <w:rsid w:val="00D66822"/>
    <w:rsid w:val="00D678C4"/>
    <w:rsid w:val="00D7162E"/>
    <w:rsid w:val="00D72F1B"/>
    <w:rsid w:val="00D732BD"/>
    <w:rsid w:val="00D73621"/>
    <w:rsid w:val="00D73634"/>
    <w:rsid w:val="00D758E2"/>
    <w:rsid w:val="00D76136"/>
    <w:rsid w:val="00D80242"/>
    <w:rsid w:val="00D835F7"/>
    <w:rsid w:val="00D85C8B"/>
    <w:rsid w:val="00D87589"/>
    <w:rsid w:val="00D87E35"/>
    <w:rsid w:val="00D93970"/>
    <w:rsid w:val="00D94B33"/>
    <w:rsid w:val="00D96BC2"/>
    <w:rsid w:val="00DA0F7A"/>
    <w:rsid w:val="00DA14E3"/>
    <w:rsid w:val="00DA2367"/>
    <w:rsid w:val="00DB05D2"/>
    <w:rsid w:val="00DB2814"/>
    <w:rsid w:val="00DB364B"/>
    <w:rsid w:val="00DB5B1D"/>
    <w:rsid w:val="00DC0B26"/>
    <w:rsid w:val="00DC26C4"/>
    <w:rsid w:val="00DC4F9E"/>
    <w:rsid w:val="00DD2758"/>
    <w:rsid w:val="00DD3134"/>
    <w:rsid w:val="00DD5EBF"/>
    <w:rsid w:val="00DD70E4"/>
    <w:rsid w:val="00DD7560"/>
    <w:rsid w:val="00DE0498"/>
    <w:rsid w:val="00DE64B4"/>
    <w:rsid w:val="00DE76CB"/>
    <w:rsid w:val="00DF47E5"/>
    <w:rsid w:val="00DF7BAA"/>
    <w:rsid w:val="00E044B0"/>
    <w:rsid w:val="00E04764"/>
    <w:rsid w:val="00E06959"/>
    <w:rsid w:val="00E075A3"/>
    <w:rsid w:val="00E075E7"/>
    <w:rsid w:val="00E07CD5"/>
    <w:rsid w:val="00E07EAA"/>
    <w:rsid w:val="00E16023"/>
    <w:rsid w:val="00E16CDC"/>
    <w:rsid w:val="00E16F31"/>
    <w:rsid w:val="00E172F3"/>
    <w:rsid w:val="00E24437"/>
    <w:rsid w:val="00E26CF9"/>
    <w:rsid w:val="00E27298"/>
    <w:rsid w:val="00E3513C"/>
    <w:rsid w:val="00E35865"/>
    <w:rsid w:val="00E42F57"/>
    <w:rsid w:val="00E4311F"/>
    <w:rsid w:val="00E53E66"/>
    <w:rsid w:val="00E63F69"/>
    <w:rsid w:val="00E650E2"/>
    <w:rsid w:val="00E66340"/>
    <w:rsid w:val="00E66BB7"/>
    <w:rsid w:val="00E66F82"/>
    <w:rsid w:val="00E67185"/>
    <w:rsid w:val="00E71867"/>
    <w:rsid w:val="00E71E85"/>
    <w:rsid w:val="00E72F0B"/>
    <w:rsid w:val="00E7420D"/>
    <w:rsid w:val="00E75ACE"/>
    <w:rsid w:val="00E77032"/>
    <w:rsid w:val="00E839B1"/>
    <w:rsid w:val="00E848D8"/>
    <w:rsid w:val="00E9284F"/>
    <w:rsid w:val="00E92F2A"/>
    <w:rsid w:val="00E93F45"/>
    <w:rsid w:val="00E945DE"/>
    <w:rsid w:val="00E95283"/>
    <w:rsid w:val="00E96027"/>
    <w:rsid w:val="00EA0A30"/>
    <w:rsid w:val="00EA434E"/>
    <w:rsid w:val="00EA5754"/>
    <w:rsid w:val="00EA70D3"/>
    <w:rsid w:val="00EA79CA"/>
    <w:rsid w:val="00EB1B06"/>
    <w:rsid w:val="00EB4973"/>
    <w:rsid w:val="00EB7513"/>
    <w:rsid w:val="00EC116F"/>
    <w:rsid w:val="00EC1E0B"/>
    <w:rsid w:val="00EC27E6"/>
    <w:rsid w:val="00EC3580"/>
    <w:rsid w:val="00EC50B5"/>
    <w:rsid w:val="00EC5142"/>
    <w:rsid w:val="00EC60ED"/>
    <w:rsid w:val="00ED0B1E"/>
    <w:rsid w:val="00ED3A67"/>
    <w:rsid w:val="00EE122A"/>
    <w:rsid w:val="00EE3719"/>
    <w:rsid w:val="00EE41E3"/>
    <w:rsid w:val="00EE6ED5"/>
    <w:rsid w:val="00EF0744"/>
    <w:rsid w:val="00EF493D"/>
    <w:rsid w:val="00F00885"/>
    <w:rsid w:val="00F00E5C"/>
    <w:rsid w:val="00F0447C"/>
    <w:rsid w:val="00F1066C"/>
    <w:rsid w:val="00F118C6"/>
    <w:rsid w:val="00F140C5"/>
    <w:rsid w:val="00F157C6"/>
    <w:rsid w:val="00F15FCC"/>
    <w:rsid w:val="00F16AE1"/>
    <w:rsid w:val="00F17035"/>
    <w:rsid w:val="00F17E95"/>
    <w:rsid w:val="00F21BC8"/>
    <w:rsid w:val="00F235B5"/>
    <w:rsid w:val="00F314C0"/>
    <w:rsid w:val="00F335A8"/>
    <w:rsid w:val="00F33F70"/>
    <w:rsid w:val="00F349B7"/>
    <w:rsid w:val="00F35B78"/>
    <w:rsid w:val="00F365F5"/>
    <w:rsid w:val="00F40727"/>
    <w:rsid w:val="00F40E1A"/>
    <w:rsid w:val="00F414B3"/>
    <w:rsid w:val="00F41868"/>
    <w:rsid w:val="00F454FC"/>
    <w:rsid w:val="00F521EF"/>
    <w:rsid w:val="00F54F60"/>
    <w:rsid w:val="00F6098A"/>
    <w:rsid w:val="00F64DE4"/>
    <w:rsid w:val="00F7038F"/>
    <w:rsid w:val="00F71FF9"/>
    <w:rsid w:val="00F745DB"/>
    <w:rsid w:val="00F7628B"/>
    <w:rsid w:val="00F77469"/>
    <w:rsid w:val="00F77A11"/>
    <w:rsid w:val="00F81344"/>
    <w:rsid w:val="00F848AA"/>
    <w:rsid w:val="00F87CD8"/>
    <w:rsid w:val="00F91656"/>
    <w:rsid w:val="00F9188E"/>
    <w:rsid w:val="00F956A0"/>
    <w:rsid w:val="00F96E40"/>
    <w:rsid w:val="00FA0A22"/>
    <w:rsid w:val="00FA2A7C"/>
    <w:rsid w:val="00FA2B12"/>
    <w:rsid w:val="00FA65D0"/>
    <w:rsid w:val="00FA6E36"/>
    <w:rsid w:val="00FB15EF"/>
    <w:rsid w:val="00FB2EA3"/>
    <w:rsid w:val="00FB4801"/>
    <w:rsid w:val="00FC0787"/>
    <w:rsid w:val="00FC165F"/>
    <w:rsid w:val="00FC2E41"/>
    <w:rsid w:val="00FC401A"/>
    <w:rsid w:val="00FC43D5"/>
    <w:rsid w:val="00FD25C7"/>
    <w:rsid w:val="00FD712D"/>
    <w:rsid w:val="00FE2901"/>
    <w:rsid w:val="00FE53FA"/>
    <w:rsid w:val="00FE61B2"/>
    <w:rsid w:val="00FF0154"/>
    <w:rsid w:val="00FF0330"/>
    <w:rsid w:val="00FF24A3"/>
    <w:rsid w:val="00FF368F"/>
    <w:rsid w:val="00FF3734"/>
    <w:rsid w:val="00FF4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62A2DF2"/>
  <w15:docId w15:val="{56143249-514F-44F8-80F1-0A17AF6F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55"/>
    <w:rPr>
      <w:sz w:val="24"/>
      <w:szCs w:val="24"/>
      <w:lang w:val="en-US" w:eastAsia="en-US"/>
    </w:rPr>
  </w:style>
  <w:style w:type="paragraph" w:styleId="Heading1">
    <w:name w:val="heading 1"/>
    <w:aliases w:val="h1,heading,LetHead1,MisHead1,Normalhead1,l1,Normal Heading 1,Main Section,H1,Mainnormal,Chapter Heading,UCI Header 1"/>
    <w:basedOn w:val="Normal"/>
    <w:next w:val="Normal"/>
    <w:qFormat/>
    <w:rsid w:val="00C52941"/>
    <w:pPr>
      <w:numPr>
        <w:numId w:val="1"/>
      </w:numPr>
      <w:tabs>
        <w:tab w:val="clear" w:pos="1080"/>
        <w:tab w:val="num" w:pos="540"/>
        <w:tab w:val="left" w:pos="1260"/>
      </w:tabs>
      <w:ind w:hanging="1080"/>
      <w:jc w:val="both"/>
      <w:outlineLvl w:val="0"/>
    </w:pPr>
    <w:rPr>
      <w:rFonts w:ascii="Arial" w:eastAsia="Arial Unicode MS" w:hAnsi="Arial" w:cs="Arial"/>
      <w:b/>
      <w:sz w:val="22"/>
      <w:szCs w:val="22"/>
      <w:u w:val="single"/>
    </w:rPr>
  </w:style>
  <w:style w:type="paragraph" w:styleId="Heading2">
    <w:name w:val="heading 2"/>
    <w:aliases w:val="h2,2,Header 2nd Page,A.B.C.,Normalhead2,LetHead2,MisHead2,l2,Normal Heading 2,heading 2,Heading 2 Hidden,H2,Heading 2.2,1. Main heading,Section Heading,Heading 2a,Numbered - 2,h 3,h 4,ICL,PA Major Section,HD2,Titre3"/>
    <w:basedOn w:val="ListParagraph"/>
    <w:next w:val="Normal"/>
    <w:qFormat/>
    <w:rsid w:val="00676903"/>
    <w:pPr>
      <w:numPr>
        <w:ilvl w:val="1"/>
        <w:numId w:val="10"/>
      </w:numPr>
      <w:ind w:left="851" w:hanging="851"/>
      <w:jc w:val="both"/>
      <w:outlineLvl w:val="1"/>
    </w:pPr>
    <w:rPr>
      <w:rFonts w:ascii="Arial" w:eastAsia="Arial Unicode MS" w:hAnsi="Arial" w:cs="Arial"/>
      <w:b/>
      <w:szCs w:val="22"/>
    </w:rPr>
  </w:style>
  <w:style w:type="paragraph" w:styleId="Heading3">
    <w:name w:val="heading 3"/>
    <w:aliases w:val="h3,3,Normalhead3,Normal Heading 3,MisHead3,LetHead3,l3,CT,H3,Heading 3E,Sub-section Heading,Numbered - 3,ICL1,Level 3,Minor1,PA Minor Section,h31,h32,Heading 3 hidden,2h,head3,Head 3"/>
    <w:basedOn w:val="Normal"/>
    <w:next w:val="Normal"/>
    <w:qFormat/>
    <w:rsid w:val="00AE34BF"/>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AE34BF"/>
    <w:pPr>
      <w:keepNext/>
      <w:spacing w:before="240" w:after="60"/>
      <w:outlineLvl w:val="3"/>
    </w:pPr>
    <w:rPr>
      <w:b/>
      <w:bCs/>
      <w:sz w:val="28"/>
      <w:szCs w:val="28"/>
    </w:rPr>
  </w:style>
  <w:style w:type="paragraph" w:styleId="Heading5">
    <w:name w:val="heading 5"/>
    <w:basedOn w:val="Normal"/>
    <w:next w:val="Normal"/>
    <w:qFormat/>
    <w:rsid w:val="00AE34BF"/>
    <w:pPr>
      <w:keepNext/>
      <w:numPr>
        <w:numId w:val="2"/>
      </w:numPr>
      <w:tabs>
        <w:tab w:val="clear" w:pos="900"/>
      </w:tabs>
      <w:spacing w:line="360" w:lineRule="auto"/>
      <w:ind w:left="540"/>
      <w:jc w:val="both"/>
      <w:outlineLvl w:val="4"/>
    </w:pPr>
    <w:rPr>
      <w:rFonts w:ascii="Arial Unicode MS" w:eastAsia="Arial Unicode MS" w:hAnsi="Arial Unicode MS" w:cs="Arial Unicode MS"/>
      <w:b/>
      <w:bCs/>
      <w:u w:val="single"/>
    </w:rPr>
  </w:style>
  <w:style w:type="paragraph" w:styleId="Heading6">
    <w:name w:val="heading 6"/>
    <w:basedOn w:val="Normal"/>
    <w:next w:val="Normal"/>
    <w:qFormat/>
    <w:rsid w:val="00AE34BF"/>
    <w:pPr>
      <w:keepNext/>
      <w:spacing w:line="360" w:lineRule="auto"/>
      <w:jc w:val="both"/>
      <w:outlineLvl w:val="5"/>
    </w:pPr>
    <w:rPr>
      <w:rFonts w:ascii="Arial Unicode MS" w:eastAsia="Arial Unicode MS" w:hAnsi="Arial Unicode MS" w:cs="Arial Unicode MS"/>
      <w:b/>
      <w:bCs/>
      <w:i/>
      <w:iCs/>
    </w:rPr>
  </w:style>
  <w:style w:type="paragraph" w:styleId="Heading7">
    <w:name w:val="heading 7"/>
    <w:basedOn w:val="Normal"/>
    <w:next w:val="Normal"/>
    <w:qFormat/>
    <w:rsid w:val="00AE34BF"/>
    <w:pPr>
      <w:keepNext/>
      <w:numPr>
        <w:numId w:val="3"/>
      </w:numPr>
      <w:tabs>
        <w:tab w:val="clear" w:pos="720"/>
      </w:tabs>
      <w:spacing w:line="360" w:lineRule="auto"/>
      <w:ind w:left="540" w:hanging="540"/>
      <w:outlineLvl w:val="6"/>
    </w:pPr>
    <w:rPr>
      <w:rFonts w:ascii="Arial Unicode MS" w:eastAsia="Arial Unicode MS" w:hAnsi="Arial Unicode MS" w:cs="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ntents">
    <w:name w:val="zcontents"/>
    <w:basedOn w:val="Normal"/>
    <w:rsid w:val="00AE34BF"/>
    <w:pPr>
      <w:spacing w:after="260"/>
      <w:ind w:left="2880" w:firstLine="720"/>
    </w:pPr>
    <w:rPr>
      <w:b/>
      <w:sz w:val="32"/>
      <w:szCs w:val="20"/>
      <w:lang w:val="en-GB"/>
    </w:rPr>
  </w:style>
  <w:style w:type="paragraph" w:styleId="BodyText">
    <w:name w:val="Body Text"/>
    <w:basedOn w:val="Normal"/>
    <w:rsid w:val="00AE34BF"/>
    <w:pPr>
      <w:spacing w:line="360" w:lineRule="auto"/>
      <w:jc w:val="both"/>
    </w:pPr>
    <w:rPr>
      <w:rFonts w:ascii="Arial" w:hAnsi="Arial" w:cs="Arial"/>
    </w:rPr>
  </w:style>
  <w:style w:type="paragraph" w:styleId="BodyTextIndent2">
    <w:name w:val="Body Text Indent 2"/>
    <w:basedOn w:val="Normal"/>
    <w:rsid w:val="00AE34BF"/>
    <w:pPr>
      <w:spacing w:after="120" w:line="480" w:lineRule="auto"/>
      <w:ind w:left="283"/>
    </w:pPr>
  </w:style>
  <w:style w:type="paragraph" w:styleId="BodyTextIndent">
    <w:name w:val="Body Text Indent"/>
    <w:basedOn w:val="Normal"/>
    <w:rsid w:val="00AE34BF"/>
    <w:pPr>
      <w:spacing w:after="120"/>
      <w:ind w:left="283"/>
    </w:pPr>
  </w:style>
  <w:style w:type="paragraph" w:styleId="BodyTextIndent3">
    <w:name w:val="Body Text Indent 3"/>
    <w:basedOn w:val="Normal"/>
    <w:rsid w:val="00AE34BF"/>
    <w:pPr>
      <w:spacing w:after="120"/>
      <w:ind w:left="283"/>
    </w:pPr>
    <w:rPr>
      <w:sz w:val="16"/>
      <w:szCs w:val="16"/>
    </w:rPr>
  </w:style>
  <w:style w:type="paragraph" w:styleId="BodyText2">
    <w:name w:val="Body Text 2"/>
    <w:basedOn w:val="Normal"/>
    <w:rsid w:val="00AE34BF"/>
    <w:pPr>
      <w:spacing w:after="120" w:line="480" w:lineRule="auto"/>
    </w:pPr>
  </w:style>
  <w:style w:type="paragraph" w:styleId="FootnoteText">
    <w:name w:val="footnote text"/>
    <w:basedOn w:val="Normal"/>
    <w:semiHidden/>
    <w:rsid w:val="00AE34BF"/>
    <w:rPr>
      <w:sz w:val="20"/>
      <w:szCs w:val="20"/>
      <w:lang w:val="en-ZA"/>
    </w:rPr>
  </w:style>
  <w:style w:type="character" w:styleId="FootnoteReference">
    <w:name w:val="footnote reference"/>
    <w:semiHidden/>
    <w:rsid w:val="00AE34BF"/>
    <w:rPr>
      <w:vertAlign w:val="superscript"/>
    </w:rPr>
  </w:style>
  <w:style w:type="paragraph" w:customStyle="1" w:styleId="p47">
    <w:name w:val="p47"/>
    <w:basedOn w:val="Normal"/>
    <w:rsid w:val="00AE34BF"/>
    <w:pPr>
      <w:widowControl w:val="0"/>
      <w:autoSpaceDE w:val="0"/>
      <w:autoSpaceDN w:val="0"/>
      <w:spacing w:line="280" w:lineRule="atLeast"/>
      <w:ind w:left="1008" w:hanging="432"/>
    </w:pPr>
    <w:rPr>
      <w:sz w:val="20"/>
      <w:szCs w:val="20"/>
      <w:lang w:val="en-ZA"/>
    </w:rPr>
  </w:style>
  <w:style w:type="paragraph" w:customStyle="1" w:styleId="p44">
    <w:name w:val="p44"/>
    <w:basedOn w:val="Normal"/>
    <w:rsid w:val="00AE34BF"/>
    <w:pPr>
      <w:widowControl w:val="0"/>
      <w:tabs>
        <w:tab w:val="left" w:pos="380"/>
      </w:tabs>
      <w:autoSpaceDE w:val="0"/>
      <w:autoSpaceDN w:val="0"/>
      <w:spacing w:line="280" w:lineRule="atLeast"/>
      <w:ind w:left="1008" w:hanging="432"/>
      <w:jc w:val="both"/>
    </w:pPr>
    <w:rPr>
      <w:sz w:val="20"/>
      <w:szCs w:val="20"/>
      <w:lang w:val="en-ZA"/>
    </w:rPr>
  </w:style>
  <w:style w:type="paragraph" w:customStyle="1" w:styleId="p73">
    <w:name w:val="p73"/>
    <w:basedOn w:val="Normal"/>
    <w:rsid w:val="00AE34BF"/>
    <w:pPr>
      <w:widowControl w:val="0"/>
      <w:autoSpaceDE w:val="0"/>
      <w:autoSpaceDN w:val="0"/>
      <w:spacing w:line="280" w:lineRule="atLeast"/>
      <w:ind w:left="1008" w:hanging="432"/>
      <w:jc w:val="both"/>
    </w:pPr>
    <w:rPr>
      <w:sz w:val="20"/>
      <w:szCs w:val="20"/>
      <w:lang w:val="en-ZA"/>
    </w:rPr>
  </w:style>
  <w:style w:type="paragraph" w:customStyle="1" w:styleId="p36">
    <w:name w:val="p36"/>
    <w:basedOn w:val="Normal"/>
    <w:rsid w:val="00AE34BF"/>
    <w:pPr>
      <w:widowControl w:val="0"/>
      <w:tabs>
        <w:tab w:val="left" w:pos="720"/>
      </w:tabs>
      <w:autoSpaceDE w:val="0"/>
      <w:autoSpaceDN w:val="0"/>
      <w:spacing w:line="240" w:lineRule="atLeast"/>
      <w:jc w:val="both"/>
    </w:pPr>
    <w:rPr>
      <w:sz w:val="20"/>
      <w:szCs w:val="20"/>
      <w:lang w:val="en-ZA"/>
    </w:rPr>
  </w:style>
  <w:style w:type="paragraph" w:customStyle="1" w:styleId="p84">
    <w:name w:val="p84"/>
    <w:basedOn w:val="Normal"/>
    <w:rsid w:val="00AE34BF"/>
    <w:pPr>
      <w:widowControl w:val="0"/>
      <w:tabs>
        <w:tab w:val="left" w:pos="720"/>
      </w:tabs>
      <w:autoSpaceDE w:val="0"/>
      <w:autoSpaceDN w:val="0"/>
      <w:spacing w:line="280" w:lineRule="atLeast"/>
      <w:ind w:left="288" w:hanging="432"/>
      <w:jc w:val="both"/>
    </w:pPr>
    <w:rPr>
      <w:sz w:val="20"/>
      <w:szCs w:val="20"/>
      <w:lang w:val="en-ZA"/>
    </w:rPr>
  </w:style>
  <w:style w:type="paragraph" w:styleId="Footer">
    <w:name w:val="footer"/>
    <w:basedOn w:val="Normal"/>
    <w:link w:val="FooterChar"/>
    <w:uiPriority w:val="99"/>
    <w:rsid w:val="00AE34BF"/>
    <w:pPr>
      <w:tabs>
        <w:tab w:val="center" w:pos="4320"/>
        <w:tab w:val="right" w:pos="8640"/>
      </w:tabs>
    </w:pPr>
  </w:style>
  <w:style w:type="character" w:styleId="PageNumber">
    <w:name w:val="page number"/>
    <w:basedOn w:val="DefaultParagraphFont"/>
    <w:rsid w:val="00AE34BF"/>
  </w:style>
  <w:style w:type="paragraph" w:styleId="Title">
    <w:name w:val="Title"/>
    <w:basedOn w:val="Normal"/>
    <w:qFormat/>
    <w:rsid w:val="00AE34BF"/>
    <w:pPr>
      <w:jc w:val="center"/>
    </w:pPr>
    <w:rPr>
      <w:b/>
      <w:bCs/>
      <w:color w:val="333399"/>
      <w:sz w:val="52"/>
    </w:rPr>
  </w:style>
  <w:style w:type="paragraph" w:styleId="Header">
    <w:name w:val="header"/>
    <w:basedOn w:val="Normal"/>
    <w:link w:val="HeaderChar"/>
    <w:uiPriority w:val="99"/>
    <w:rsid w:val="000A0E9A"/>
    <w:pPr>
      <w:tabs>
        <w:tab w:val="center" w:pos="4513"/>
        <w:tab w:val="right" w:pos="9026"/>
      </w:tabs>
    </w:pPr>
  </w:style>
  <w:style w:type="character" w:customStyle="1" w:styleId="HeaderChar">
    <w:name w:val="Header Char"/>
    <w:link w:val="Header"/>
    <w:uiPriority w:val="99"/>
    <w:rsid w:val="000A0E9A"/>
    <w:rPr>
      <w:sz w:val="24"/>
      <w:szCs w:val="24"/>
      <w:lang w:val="en-US" w:eastAsia="en-US"/>
    </w:rPr>
  </w:style>
  <w:style w:type="paragraph" w:styleId="BalloonText">
    <w:name w:val="Balloon Text"/>
    <w:basedOn w:val="Normal"/>
    <w:semiHidden/>
    <w:rsid w:val="008E2EFE"/>
    <w:rPr>
      <w:rFonts w:ascii="Tahoma" w:hAnsi="Tahoma" w:cs="Tahoma"/>
      <w:sz w:val="16"/>
      <w:szCs w:val="16"/>
    </w:rPr>
  </w:style>
  <w:style w:type="character" w:styleId="CommentReference">
    <w:name w:val="annotation reference"/>
    <w:semiHidden/>
    <w:rsid w:val="00377D64"/>
    <w:rPr>
      <w:sz w:val="16"/>
      <w:szCs w:val="16"/>
    </w:rPr>
  </w:style>
  <w:style w:type="paragraph" w:styleId="CommentText">
    <w:name w:val="annotation text"/>
    <w:basedOn w:val="Normal"/>
    <w:semiHidden/>
    <w:rsid w:val="00377D64"/>
    <w:rPr>
      <w:sz w:val="20"/>
      <w:szCs w:val="20"/>
    </w:rPr>
  </w:style>
  <w:style w:type="paragraph" w:styleId="CommentSubject">
    <w:name w:val="annotation subject"/>
    <w:basedOn w:val="CommentText"/>
    <w:next w:val="CommentText"/>
    <w:semiHidden/>
    <w:rsid w:val="00377D64"/>
    <w:rPr>
      <w:b/>
      <w:bCs/>
    </w:rPr>
  </w:style>
  <w:style w:type="paragraph" w:styleId="ListParagraph">
    <w:name w:val="List Paragraph"/>
    <w:basedOn w:val="Normal"/>
    <w:uiPriority w:val="1"/>
    <w:qFormat/>
    <w:rsid w:val="00EC5142"/>
    <w:pPr>
      <w:spacing w:line="260" w:lineRule="atLeast"/>
      <w:ind w:left="720"/>
    </w:pPr>
    <w:rPr>
      <w:sz w:val="22"/>
      <w:szCs w:val="20"/>
      <w:lang w:val="en-GB"/>
    </w:rPr>
  </w:style>
  <w:style w:type="character" w:customStyle="1" w:styleId="FooterChar">
    <w:name w:val="Footer Char"/>
    <w:basedOn w:val="DefaultParagraphFont"/>
    <w:link w:val="Footer"/>
    <w:uiPriority w:val="99"/>
    <w:rsid w:val="009D67C8"/>
    <w:rPr>
      <w:sz w:val="24"/>
      <w:szCs w:val="24"/>
      <w:lang w:val="en-US" w:eastAsia="en-US"/>
    </w:rPr>
  </w:style>
  <w:style w:type="paragraph" w:customStyle="1" w:styleId="TableParagraph">
    <w:name w:val="Table Paragraph"/>
    <w:basedOn w:val="Normal"/>
    <w:uiPriority w:val="1"/>
    <w:qFormat/>
    <w:rsid w:val="00665B39"/>
    <w:pPr>
      <w:widowControl w:val="0"/>
      <w:autoSpaceDE w:val="0"/>
      <w:autoSpaceDN w:val="0"/>
      <w:ind w:left="107"/>
    </w:pPr>
    <w:rPr>
      <w:rFonts w:ascii="Arial" w:eastAsia="Arial" w:hAnsi="Arial" w:cs="Arial"/>
      <w:sz w:val="22"/>
      <w:szCs w:val="22"/>
      <w:lang w:bidi="en-US"/>
    </w:rPr>
  </w:style>
  <w:style w:type="character" w:styleId="Hyperlink">
    <w:name w:val="Hyperlink"/>
    <w:basedOn w:val="DefaultParagraphFont"/>
    <w:uiPriority w:val="99"/>
    <w:unhideWhenUsed/>
    <w:rsid w:val="00946E67"/>
    <w:rPr>
      <w:color w:val="0000FF" w:themeColor="hyperlink"/>
      <w:u w:val="single"/>
    </w:rPr>
  </w:style>
  <w:style w:type="table" w:styleId="TableGrid">
    <w:name w:val="Table Grid"/>
    <w:basedOn w:val="TableNormal"/>
    <w:rsid w:val="0038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570F1"/>
    <w:pPr>
      <w:tabs>
        <w:tab w:val="left" w:pos="426"/>
        <w:tab w:val="right" w:leader="dot" w:pos="8640"/>
      </w:tabs>
      <w:spacing w:after="360"/>
    </w:pPr>
    <w:rPr>
      <w:rFonts w:ascii="Arial" w:hAnsi="Arial" w:cs="Arial"/>
      <w:noProof/>
      <w:sz w:val="22"/>
      <w:szCs w:val="22"/>
    </w:rPr>
  </w:style>
  <w:style w:type="paragraph" w:styleId="TOCHeading">
    <w:name w:val="TOC Heading"/>
    <w:basedOn w:val="Heading1"/>
    <w:next w:val="Normal"/>
    <w:uiPriority w:val="39"/>
    <w:unhideWhenUsed/>
    <w:qFormat/>
    <w:rsid w:val="002C08BB"/>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table" w:customStyle="1" w:styleId="PlainTable31">
    <w:name w:val="Plain Table 31"/>
    <w:basedOn w:val="TableNormal"/>
    <w:uiPriority w:val="43"/>
    <w:rsid w:val="005768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768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aliases w:val="h4 Char"/>
    <w:basedOn w:val="DefaultParagraphFont"/>
    <w:link w:val="Heading4"/>
    <w:rsid w:val="00065F55"/>
    <w:rPr>
      <w:b/>
      <w:bCs/>
      <w:sz w:val="28"/>
      <w:szCs w:val="28"/>
      <w:lang w:val="en-US" w:eastAsia="en-US"/>
    </w:rPr>
  </w:style>
  <w:style w:type="paragraph" w:styleId="TOC2">
    <w:name w:val="toc 2"/>
    <w:basedOn w:val="Normal"/>
    <w:next w:val="Normal"/>
    <w:autoRedefine/>
    <w:uiPriority w:val="39"/>
    <w:unhideWhenUsed/>
    <w:rsid w:val="003F5795"/>
    <w:pPr>
      <w:tabs>
        <w:tab w:val="left" w:pos="426"/>
        <w:tab w:val="right" w:leader="dot" w:pos="8630"/>
      </w:tabs>
      <w:spacing w:after="100"/>
      <w:ind w:left="851" w:hanging="425"/>
    </w:pPr>
  </w:style>
  <w:style w:type="paragraph" w:styleId="Revision">
    <w:name w:val="Revision"/>
    <w:hidden/>
    <w:uiPriority w:val="99"/>
    <w:semiHidden/>
    <w:rsid w:val="00587E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5049">
      <w:bodyDiv w:val="1"/>
      <w:marLeft w:val="0"/>
      <w:marRight w:val="0"/>
      <w:marTop w:val="0"/>
      <w:marBottom w:val="0"/>
      <w:divBdr>
        <w:top w:val="none" w:sz="0" w:space="0" w:color="auto"/>
        <w:left w:val="none" w:sz="0" w:space="0" w:color="auto"/>
        <w:bottom w:val="none" w:sz="0" w:space="0" w:color="auto"/>
        <w:right w:val="none" w:sz="0" w:space="0" w:color="auto"/>
      </w:divBdr>
    </w:div>
    <w:div w:id="15849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DF96A9-351B-42A2-B86D-ABFF7F05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MSUNDUZI MUNICIPALITY</vt:lpstr>
    </vt:vector>
  </TitlesOfParts>
  <Company>Roshan Morar &amp; Associates</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MSUNDUZI MUNICIPALITY</dc:title>
  <dc:creator>Kashnee</dc:creator>
  <cp:lastModifiedBy>Sbonelo S. Mwelase</cp:lastModifiedBy>
  <cp:revision>2</cp:revision>
  <cp:lastPrinted>2021-03-29T08:58:00Z</cp:lastPrinted>
  <dcterms:created xsi:type="dcterms:W3CDTF">2022-03-25T14:13:00Z</dcterms:created>
  <dcterms:modified xsi:type="dcterms:W3CDTF">2022-03-25T14:13:00Z</dcterms:modified>
</cp:coreProperties>
</file>